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7F61C91E" w:rsidR="007A79C8" w:rsidRPr="000170D5" w:rsidRDefault="000170D5" w:rsidP="000170D5">
      <w:pPr>
        <w:pStyle w:val="ListParagraph"/>
        <w:numPr>
          <w:ilvl w:val="0"/>
          <w:numId w:val="14"/>
        </w:numPr>
        <w:shd w:val="clear" w:color="auto" w:fill="000000" w:themeFill="text1"/>
        <w:rPr>
          <w:rFonts w:ascii="Verdana" w:hAnsi="Verdana"/>
          <w:b/>
          <w:bCs/>
          <w:color w:val="FFFFFF" w:themeColor="background1"/>
          <w:sz w:val="24"/>
          <w:szCs w:val="24"/>
        </w:rPr>
      </w:pPr>
      <w:r>
        <w:rPr>
          <w:rFonts w:ascii="Verdana" w:hAnsi="Verdana"/>
          <w:b/>
          <w:bCs/>
          <w:color w:val="FFFFFF" w:themeColor="background1"/>
          <w:sz w:val="24"/>
          <w:szCs w:val="24"/>
        </w:rPr>
        <w:t>HACCP</w:t>
      </w:r>
    </w:p>
    <w:p w14:paraId="6DA010B7" w14:textId="77777777" w:rsidR="000D2971" w:rsidRPr="00201157" w:rsidRDefault="00533FCF" w:rsidP="00533FCF">
      <w:pPr>
        <w:rPr>
          <w:rFonts w:ascii="Verdana" w:hAnsi="Verdana"/>
          <w:lang w:eastAsia="zh-CN"/>
        </w:rPr>
      </w:pPr>
      <w:r w:rsidRPr="00533FCF">
        <w:rPr>
          <w:rFonts w:ascii="Verdana" w:hAnsi="Verdana"/>
          <w:lang w:eastAsia="zh-CN"/>
        </w:rPr>
        <w:t xml:space="preserve">The principles of Hazard Analysis Critical Control Point (HACCP) have been well </w:t>
      </w:r>
      <w:r w:rsidRPr="00201157">
        <w:rPr>
          <w:rFonts w:ascii="Verdana" w:hAnsi="Verdana"/>
          <w:lang w:eastAsia="zh-CN"/>
        </w:rPr>
        <w:t xml:space="preserve">established since their introduction in the 1960’s by the Pilsbury Company in the US. </w:t>
      </w:r>
      <w:r w:rsidR="00D64A1F" w:rsidRPr="00201157">
        <w:rPr>
          <w:rFonts w:ascii="Verdana" w:hAnsi="Verdana"/>
          <w:lang w:eastAsia="zh-CN"/>
        </w:rPr>
        <w:t xml:space="preserve"> Refer to: </w:t>
      </w:r>
      <w:hyperlink r:id="rId7" w:history="1">
        <w:r w:rsidR="000D2971" w:rsidRPr="00201157">
          <w:rPr>
            <w:rStyle w:val="Hyperlink"/>
            <w:rFonts w:ascii="Verdana" w:hAnsi="Verdana"/>
            <w:lang w:eastAsia="zh-CN"/>
          </w:rPr>
          <w:t>https://www.fao.org/documents/card/en/c/cc6125en</w:t>
        </w:r>
      </w:hyperlink>
      <w:r w:rsidR="000D2971" w:rsidRPr="00201157">
        <w:rPr>
          <w:rFonts w:ascii="Verdana" w:hAnsi="Verdana"/>
          <w:lang w:eastAsia="zh-CN"/>
        </w:rPr>
        <w:t xml:space="preserve"> </w:t>
      </w:r>
    </w:p>
    <w:p w14:paraId="1377504B" w14:textId="61720113" w:rsidR="00533FCF" w:rsidRPr="00201157" w:rsidRDefault="00533FCF" w:rsidP="00533FCF">
      <w:pPr>
        <w:rPr>
          <w:rFonts w:ascii="Verdana" w:hAnsi="Verdana"/>
          <w:lang w:eastAsia="zh-CN"/>
        </w:rPr>
      </w:pPr>
      <w:r w:rsidRPr="00201157">
        <w:rPr>
          <w:rFonts w:ascii="Verdana" w:hAnsi="Verdana"/>
          <w:lang w:eastAsia="zh-CN"/>
        </w:rPr>
        <w:t>The fundamental principles are:</w:t>
      </w:r>
    </w:p>
    <w:p w14:paraId="10973B1B" w14:textId="77777777" w:rsidR="00533FCF" w:rsidRPr="00201157" w:rsidRDefault="00533FCF" w:rsidP="00533FCF">
      <w:pPr>
        <w:rPr>
          <w:rFonts w:ascii="Verdana" w:hAnsi="Verdana"/>
          <w:b/>
          <w:bCs/>
          <w:i/>
          <w:iCs/>
          <w:lang w:eastAsia="zh-CN"/>
        </w:rPr>
      </w:pPr>
      <w:r w:rsidRPr="00201157">
        <w:rPr>
          <w:rFonts w:ascii="Verdana" w:hAnsi="Verdana"/>
          <w:b/>
          <w:bCs/>
          <w:i/>
          <w:iCs/>
          <w:lang w:eastAsia="zh-CN"/>
        </w:rPr>
        <w:t>Principle 1 – Identify hazards, assess risk, and list controls</w:t>
      </w:r>
    </w:p>
    <w:p w14:paraId="14C329CB" w14:textId="7DB87F9E" w:rsidR="00533FCF" w:rsidRPr="00201157" w:rsidRDefault="00533FCF" w:rsidP="00533FCF">
      <w:pPr>
        <w:rPr>
          <w:rFonts w:ascii="Verdana" w:hAnsi="Verdana"/>
          <w:lang w:eastAsia="zh-CN"/>
        </w:rPr>
      </w:pPr>
      <w:r w:rsidRPr="00201157">
        <w:rPr>
          <w:rFonts w:ascii="Verdana" w:hAnsi="Verdana"/>
          <w:lang w:eastAsia="zh-CN"/>
        </w:rPr>
        <w:t xml:space="preserve">Conduct a hazard analysis. Potential hazards </w:t>
      </w:r>
      <w:r w:rsidR="00404B9A" w:rsidRPr="00201157">
        <w:rPr>
          <w:rFonts w:ascii="Verdana" w:hAnsi="Verdana"/>
          <w:lang w:eastAsia="zh-CN"/>
        </w:rPr>
        <w:t xml:space="preserve">(biological, chemical, and physical) </w:t>
      </w:r>
      <w:r w:rsidRPr="00201157">
        <w:rPr>
          <w:rFonts w:ascii="Verdana" w:hAnsi="Verdana"/>
          <w:lang w:eastAsia="zh-CN"/>
        </w:rPr>
        <w:t xml:space="preserve">associated with a food are identified, along with measures to control those hazards. </w:t>
      </w:r>
    </w:p>
    <w:p w14:paraId="1E26FFF4" w14:textId="77777777" w:rsidR="00533FCF" w:rsidRPr="00201157" w:rsidRDefault="00533FCF" w:rsidP="00533FCF">
      <w:pPr>
        <w:rPr>
          <w:rFonts w:ascii="Verdana" w:hAnsi="Verdana"/>
          <w:b/>
          <w:bCs/>
          <w:i/>
          <w:iCs/>
          <w:lang w:eastAsia="zh-CN"/>
        </w:rPr>
      </w:pPr>
      <w:r w:rsidRPr="00201157">
        <w:rPr>
          <w:rFonts w:ascii="Verdana" w:hAnsi="Verdana"/>
          <w:b/>
          <w:bCs/>
          <w:i/>
          <w:iCs/>
          <w:lang w:eastAsia="zh-CN"/>
        </w:rPr>
        <w:t>Principle 2 – Determine critical control points</w:t>
      </w:r>
    </w:p>
    <w:p w14:paraId="5935F7C0" w14:textId="77777777" w:rsidR="00533FCF" w:rsidRPr="00201157" w:rsidRDefault="00533FCF" w:rsidP="00533FCF">
      <w:pPr>
        <w:rPr>
          <w:rFonts w:ascii="Verdana" w:hAnsi="Verdana"/>
          <w:lang w:eastAsia="zh-CN"/>
        </w:rPr>
      </w:pPr>
      <w:r w:rsidRPr="00201157">
        <w:rPr>
          <w:rFonts w:ascii="Verdana" w:hAnsi="Verdana"/>
          <w:lang w:eastAsia="zh-CN"/>
        </w:rPr>
        <w:t xml:space="preserve">After evaluating all processing steps, determine the critical control points (CCPs). CCPs are points in a food’s production and processing at which significant hazards can be controlled or eliminated. </w:t>
      </w:r>
    </w:p>
    <w:p w14:paraId="066E5EDD" w14:textId="7452800D" w:rsidR="00533FCF" w:rsidRPr="00201157" w:rsidRDefault="00533FCF" w:rsidP="00533FCF">
      <w:pPr>
        <w:rPr>
          <w:rFonts w:ascii="Verdana" w:hAnsi="Verdana"/>
          <w:b/>
          <w:bCs/>
          <w:i/>
          <w:iCs/>
          <w:lang w:eastAsia="zh-CN"/>
        </w:rPr>
      </w:pPr>
      <w:r w:rsidRPr="00201157">
        <w:rPr>
          <w:rFonts w:ascii="Verdana" w:hAnsi="Verdana"/>
          <w:b/>
          <w:bCs/>
          <w:i/>
          <w:iCs/>
          <w:lang w:eastAsia="zh-CN"/>
        </w:rPr>
        <w:t xml:space="preserve">Principle 3 – Specify criteria </w:t>
      </w:r>
      <w:r w:rsidR="006F090E" w:rsidRPr="00201157">
        <w:rPr>
          <w:rFonts w:ascii="Verdana" w:hAnsi="Verdana"/>
          <w:b/>
          <w:bCs/>
          <w:i/>
          <w:iCs/>
          <w:lang w:eastAsia="zh-CN"/>
        </w:rPr>
        <w:t xml:space="preserve">(critical limits) </w:t>
      </w:r>
      <w:r w:rsidRPr="00201157">
        <w:rPr>
          <w:rFonts w:ascii="Verdana" w:hAnsi="Verdana"/>
          <w:b/>
          <w:bCs/>
          <w:i/>
          <w:iCs/>
          <w:lang w:eastAsia="zh-CN"/>
        </w:rPr>
        <w:t>to ensure control</w:t>
      </w:r>
    </w:p>
    <w:p w14:paraId="5339FD28" w14:textId="4E824731" w:rsidR="00533FCF" w:rsidRPr="00201157" w:rsidRDefault="00533FCF" w:rsidP="00533FCF">
      <w:pPr>
        <w:rPr>
          <w:rFonts w:ascii="Verdana" w:hAnsi="Verdana"/>
          <w:lang w:eastAsia="zh-CN"/>
        </w:rPr>
      </w:pPr>
      <w:r w:rsidRPr="00201157">
        <w:rPr>
          <w:rFonts w:ascii="Verdana" w:hAnsi="Verdana"/>
          <w:lang w:eastAsia="zh-CN"/>
        </w:rPr>
        <w:t xml:space="preserve">Establish </w:t>
      </w:r>
      <w:r w:rsidR="0039659E" w:rsidRPr="00201157">
        <w:rPr>
          <w:rFonts w:ascii="Verdana" w:hAnsi="Verdana"/>
          <w:lang w:eastAsia="zh-CN"/>
        </w:rPr>
        <w:t xml:space="preserve">validated </w:t>
      </w:r>
      <w:r w:rsidRPr="00201157">
        <w:rPr>
          <w:rFonts w:ascii="Verdana" w:hAnsi="Verdana"/>
          <w:lang w:eastAsia="zh-CN"/>
        </w:rPr>
        <w:t>critical limit(s) for each CCP. Each CCP must operate within specific parameters to ensure the hazard is being appropriately and effectively controlled.</w:t>
      </w:r>
    </w:p>
    <w:p w14:paraId="72B1BC33" w14:textId="738706B3" w:rsidR="00533FCF" w:rsidRPr="00201157" w:rsidRDefault="00533FCF" w:rsidP="00533FCF">
      <w:pPr>
        <w:rPr>
          <w:rFonts w:ascii="Verdana" w:hAnsi="Verdana"/>
          <w:b/>
          <w:bCs/>
          <w:i/>
          <w:iCs/>
          <w:lang w:eastAsia="zh-CN"/>
        </w:rPr>
      </w:pPr>
      <w:r w:rsidRPr="00201157">
        <w:rPr>
          <w:rFonts w:ascii="Verdana" w:hAnsi="Verdana"/>
          <w:b/>
          <w:bCs/>
          <w:i/>
          <w:iCs/>
          <w:lang w:eastAsia="zh-CN"/>
        </w:rPr>
        <w:t xml:space="preserve">Principle 4 – Establish monitoring system for </w:t>
      </w:r>
      <w:r w:rsidR="0039659E" w:rsidRPr="00201157">
        <w:rPr>
          <w:rFonts w:ascii="Verdana" w:hAnsi="Verdana"/>
          <w:b/>
          <w:bCs/>
          <w:i/>
          <w:iCs/>
          <w:lang w:eastAsia="zh-CN"/>
        </w:rPr>
        <w:t xml:space="preserve">critical </w:t>
      </w:r>
      <w:r w:rsidRPr="00201157">
        <w:rPr>
          <w:rFonts w:ascii="Verdana" w:hAnsi="Verdana"/>
          <w:b/>
          <w:bCs/>
          <w:i/>
          <w:iCs/>
          <w:lang w:eastAsia="zh-CN"/>
        </w:rPr>
        <w:t>control points</w:t>
      </w:r>
    </w:p>
    <w:p w14:paraId="278DD41C" w14:textId="1EA41705" w:rsidR="00533FCF" w:rsidRPr="00201157" w:rsidRDefault="00533FCF" w:rsidP="00533FCF">
      <w:pPr>
        <w:rPr>
          <w:rFonts w:ascii="Verdana" w:hAnsi="Verdana"/>
          <w:lang w:eastAsia="zh-CN"/>
        </w:rPr>
      </w:pPr>
      <w:r w:rsidRPr="00201157">
        <w:rPr>
          <w:rFonts w:ascii="Verdana" w:hAnsi="Verdana"/>
          <w:lang w:eastAsia="zh-CN"/>
        </w:rPr>
        <w:t xml:space="preserve">Set up systems to monitor each CCP. Monitoring involves defining how the CCPs will be </w:t>
      </w:r>
      <w:r w:rsidR="006F090E" w:rsidRPr="00201157">
        <w:rPr>
          <w:rFonts w:ascii="Verdana" w:hAnsi="Verdana"/>
          <w:lang w:eastAsia="zh-CN"/>
        </w:rPr>
        <w:t>monitored</w:t>
      </w:r>
      <w:r w:rsidRPr="00201157">
        <w:rPr>
          <w:rFonts w:ascii="Verdana" w:hAnsi="Verdana"/>
          <w:lang w:eastAsia="zh-CN"/>
        </w:rPr>
        <w:t>, performing the monitoring at the appropriate time intervals, determining who will perform the monitoring and finally maintaining the proper monitoring records.</w:t>
      </w:r>
    </w:p>
    <w:p w14:paraId="070EF916" w14:textId="64DA607C" w:rsidR="00533FCF" w:rsidRPr="00201157" w:rsidRDefault="00533FCF" w:rsidP="00533FCF">
      <w:pPr>
        <w:rPr>
          <w:rFonts w:ascii="Verdana" w:hAnsi="Verdana"/>
          <w:b/>
          <w:bCs/>
          <w:i/>
          <w:iCs/>
          <w:lang w:eastAsia="zh-CN"/>
        </w:rPr>
      </w:pPr>
      <w:r w:rsidRPr="00201157">
        <w:rPr>
          <w:rFonts w:ascii="Verdana" w:hAnsi="Verdana"/>
          <w:b/>
          <w:bCs/>
          <w:i/>
          <w:iCs/>
          <w:lang w:eastAsia="zh-CN"/>
        </w:rPr>
        <w:t xml:space="preserve">Principle 5 – Take corrective action whenever monitoring indicates criteria </w:t>
      </w:r>
      <w:r w:rsidR="006F090E" w:rsidRPr="00201157">
        <w:rPr>
          <w:rFonts w:ascii="Verdana" w:hAnsi="Verdana"/>
          <w:b/>
          <w:bCs/>
          <w:i/>
          <w:iCs/>
          <w:lang w:eastAsia="zh-CN"/>
        </w:rPr>
        <w:t xml:space="preserve">(critical limits) </w:t>
      </w:r>
      <w:r w:rsidRPr="00201157">
        <w:rPr>
          <w:rFonts w:ascii="Verdana" w:hAnsi="Verdana"/>
          <w:b/>
          <w:bCs/>
          <w:i/>
          <w:iCs/>
          <w:lang w:eastAsia="zh-CN"/>
        </w:rPr>
        <w:t>are not met</w:t>
      </w:r>
    </w:p>
    <w:p w14:paraId="64767C55" w14:textId="77777777" w:rsidR="00533FCF" w:rsidRPr="00201157" w:rsidRDefault="00533FCF" w:rsidP="00533FCF">
      <w:pPr>
        <w:rPr>
          <w:rFonts w:ascii="Verdana" w:hAnsi="Verdana"/>
          <w:lang w:eastAsia="zh-CN"/>
        </w:rPr>
      </w:pPr>
      <w:r w:rsidRPr="00201157">
        <w:rPr>
          <w:rFonts w:ascii="Verdana" w:hAnsi="Verdana"/>
          <w:lang w:eastAsia="zh-CN"/>
        </w:rPr>
        <w:t>Establish corrective actions. When a critical limit is not met (a process deviation), proper actions must be taken. These can be both short- and long-term corrective actions. Appropriate records must be maintained.</w:t>
      </w:r>
    </w:p>
    <w:p w14:paraId="308CC3B0" w14:textId="513166CD" w:rsidR="00533FCF" w:rsidRPr="00201157" w:rsidRDefault="00533FCF" w:rsidP="00533FCF">
      <w:pPr>
        <w:rPr>
          <w:rFonts w:ascii="Verdana" w:hAnsi="Verdana"/>
          <w:b/>
          <w:bCs/>
          <w:i/>
          <w:iCs/>
          <w:lang w:eastAsia="zh-CN"/>
        </w:rPr>
      </w:pPr>
      <w:r w:rsidRPr="00201157">
        <w:rPr>
          <w:rFonts w:ascii="Verdana" w:hAnsi="Verdana"/>
          <w:b/>
          <w:bCs/>
          <w:i/>
          <w:iCs/>
          <w:lang w:eastAsia="zh-CN"/>
        </w:rPr>
        <w:t xml:space="preserve">Principle 6 – </w:t>
      </w:r>
      <w:r w:rsidR="00A12ED0" w:rsidRPr="00201157">
        <w:rPr>
          <w:rFonts w:ascii="Verdana" w:hAnsi="Verdana"/>
          <w:b/>
          <w:bCs/>
          <w:i/>
          <w:iCs/>
          <w:lang w:eastAsia="zh-CN"/>
        </w:rPr>
        <w:t>Validate the HACCP Plan, and v</w:t>
      </w:r>
      <w:r w:rsidRPr="00201157">
        <w:rPr>
          <w:rFonts w:ascii="Verdana" w:hAnsi="Verdana"/>
          <w:b/>
          <w:bCs/>
          <w:i/>
          <w:iCs/>
          <w:lang w:eastAsia="zh-CN"/>
        </w:rPr>
        <w:t>erify that the system is working as planned</w:t>
      </w:r>
    </w:p>
    <w:p w14:paraId="233C059D" w14:textId="70920CF1" w:rsidR="00533FCF" w:rsidRPr="00533FCF" w:rsidRDefault="00A12ED0" w:rsidP="00533FCF">
      <w:pPr>
        <w:rPr>
          <w:rFonts w:ascii="Verdana" w:hAnsi="Verdana"/>
          <w:lang w:eastAsia="zh-CN"/>
        </w:rPr>
      </w:pPr>
      <w:r w:rsidRPr="00201157">
        <w:rPr>
          <w:rFonts w:ascii="Verdana" w:hAnsi="Verdana"/>
          <w:lang w:eastAsia="zh-CN"/>
        </w:rPr>
        <w:t xml:space="preserve">Validate the HACCP </w:t>
      </w:r>
      <w:r w:rsidR="00201157" w:rsidRPr="00201157">
        <w:rPr>
          <w:rFonts w:ascii="Verdana" w:hAnsi="Verdana"/>
          <w:lang w:eastAsia="zh-CN"/>
        </w:rPr>
        <w:t>Plan and</w:t>
      </w:r>
      <w:r w:rsidRPr="00201157">
        <w:rPr>
          <w:rFonts w:ascii="Verdana" w:hAnsi="Verdana"/>
          <w:lang w:eastAsia="zh-CN"/>
        </w:rPr>
        <w:t xml:space="preserve"> e</w:t>
      </w:r>
      <w:r w:rsidR="00533FCF" w:rsidRPr="00201157">
        <w:rPr>
          <w:rFonts w:ascii="Verdana" w:hAnsi="Verdana"/>
          <w:lang w:eastAsia="zh-CN"/>
        </w:rPr>
        <w:t>stablish verification procedures. Verification is used to confirm that the system is working properly and that procedures outlined in the HACCP plan are being followed</w:t>
      </w:r>
    </w:p>
    <w:p w14:paraId="50B0273C" w14:textId="77777777" w:rsidR="00533FCF" w:rsidRPr="00533FCF" w:rsidRDefault="00533FCF" w:rsidP="00533FCF">
      <w:pPr>
        <w:rPr>
          <w:rFonts w:ascii="Verdana" w:hAnsi="Verdana"/>
          <w:b/>
          <w:bCs/>
          <w:i/>
          <w:iCs/>
          <w:lang w:eastAsia="zh-CN"/>
        </w:rPr>
      </w:pPr>
      <w:r w:rsidRPr="00533FCF">
        <w:rPr>
          <w:rFonts w:ascii="Verdana" w:hAnsi="Verdana"/>
          <w:b/>
          <w:bCs/>
          <w:i/>
          <w:iCs/>
          <w:lang w:eastAsia="zh-CN"/>
        </w:rPr>
        <w:t>Principle 7 – Keep suitable records</w:t>
      </w:r>
    </w:p>
    <w:p w14:paraId="10DE026A" w14:textId="77777777" w:rsidR="00533FCF" w:rsidRPr="00533FCF" w:rsidRDefault="00533FCF" w:rsidP="00533FCF">
      <w:pPr>
        <w:rPr>
          <w:rFonts w:ascii="Verdana" w:hAnsi="Verdana"/>
          <w:lang w:eastAsia="zh-CN"/>
        </w:rPr>
      </w:pPr>
      <w:r w:rsidRPr="00533FCF">
        <w:rPr>
          <w:rFonts w:ascii="Verdana" w:hAnsi="Verdana"/>
          <w:lang w:eastAsia="zh-CN"/>
        </w:rPr>
        <w:t>Establish record-keeping and documentation systems. This includes all records required in the various parts of the HACCP plan, as well as other key records such as cleaning checklists, supplier agreements, and production records.</w:t>
      </w:r>
    </w:p>
    <w:p w14:paraId="705D49D3" w14:textId="57E0B82E" w:rsidR="000170D5" w:rsidRPr="00533FCF" w:rsidRDefault="00533FCF" w:rsidP="00533FCF">
      <w:pPr>
        <w:rPr>
          <w:rFonts w:ascii="Verdana" w:hAnsi="Verdana"/>
          <w:lang w:eastAsia="zh-CN"/>
        </w:rPr>
      </w:pPr>
      <w:r w:rsidRPr="00533FCF">
        <w:rPr>
          <w:rFonts w:ascii="Verdana" w:hAnsi="Verdana"/>
          <w:lang w:eastAsia="zh-CN"/>
        </w:rPr>
        <w:t xml:space="preserve">These HACCP principles have been used when reviewing products, </w:t>
      </w:r>
      <w:proofErr w:type="gramStart"/>
      <w:r w:rsidRPr="00533FCF">
        <w:rPr>
          <w:rFonts w:ascii="Verdana" w:hAnsi="Verdana"/>
          <w:lang w:eastAsia="zh-CN"/>
        </w:rPr>
        <w:t>processes</w:t>
      </w:r>
      <w:proofErr w:type="gramEnd"/>
      <w:r w:rsidRPr="00533FCF">
        <w:rPr>
          <w:rFonts w:ascii="Verdana" w:hAnsi="Verdana"/>
          <w:lang w:eastAsia="zh-CN"/>
        </w:rPr>
        <w:t xml:space="preserve"> and the wider manufacturing environment (refer following sections). </w:t>
      </w:r>
      <w:r w:rsidR="008B2700" w:rsidRPr="00533FCF">
        <w:rPr>
          <w:rFonts w:ascii="Verdana" w:hAnsi="Verdana"/>
          <w:lang w:eastAsia="zh-CN"/>
        </w:rPr>
        <w:t xml:space="preserve"> </w:t>
      </w:r>
    </w:p>
    <w:sectPr w:rsidR="000170D5" w:rsidRPr="00533FCF" w:rsidSect="003A3C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4559" w14:textId="77777777" w:rsidR="009D1972" w:rsidRDefault="009D1972" w:rsidP="003A3C28">
      <w:pPr>
        <w:spacing w:after="0" w:line="240" w:lineRule="auto"/>
      </w:pPr>
      <w:r>
        <w:separator/>
      </w:r>
    </w:p>
  </w:endnote>
  <w:endnote w:type="continuationSeparator" w:id="0">
    <w:p w14:paraId="126797BB" w14:textId="77777777" w:rsidR="009D1972" w:rsidRDefault="009D1972"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20F0EFAE"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0170D5">
            <w:rPr>
              <w:rFonts w:ascii="Verdana" w:hAnsi="Verdana"/>
              <w:sz w:val="16"/>
            </w:rPr>
            <w:t>6</w:t>
          </w:r>
          <w:r w:rsidRPr="00090B04">
            <w:rPr>
              <w:rFonts w:ascii="Verdana" w:hAnsi="Verdana"/>
              <w:sz w:val="16"/>
            </w:rPr>
            <w:t xml:space="preserve">.0 </w:t>
          </w:r>
          <w:r w:rsidR="000170D5">
            <w:rPr>
              <w:rFonts w:ascii="Verdana" w:hAnsi="Verdana"/>
              <w:sz w:val="16"/>
            </w:rPr>
            <w:t>HACCP</w:t>
          </w:r>
        </w:p>
      </w:tc>
      <w:tc>
        <w:tcPr>
          <w:tcW w:w="283" w:type="dxa"/>
          <w:tcBorders>
            <w:top w:val="single" w:sz="4" w:space="0" w:color="000000"/>
          </w:tcBorders>
        </w:tcPr>
        <w:p w14:paraId="14374779" w14:textId="77777777" w:rsidR="007415EA" w:rsidRPr="00090B04"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4F858D07" w:rsidR="007415EA" w:rsidRPr="00090B04" w:rsidRDefault="007415EA" w:rsidP="007415EA">
          <w:pPr>
            <w:pStyle w:val="Header"/>
            <w:snapToGrid w:val="0"/>
            <w:rPr>
              <w:rFonts w:ascii="Verdana" w:hAnsi="Verdana"/>
              <w:sz w:val="16"/>
            </w:rPr>
          </w:pPr>
          <w:r w:rsidRPr="00201157">
            <w:rPr>
              <w:rFonts w:ascii="Verdana" w:hAnsi="Verdana"/>
              <w:sz w:val="16"/>
            </w:rPr>
            <w:t xml:space="preserve">Version </w:t>
          </w:r>
          <w:r w:rsidR="00E719C7" w:rsidRPr="00201157">
            <w:rPr>
              <w:rFonts w:ascii="Verdana" w:hAnsi="Verdana"/>
              <w:sz w:val="16"/>
            </w:rPr>
            <w:t>2</w:t>
          </w:r>
          <w:r w:rsidRPr="00201157">
            <w:rPr>
              <w:rFonts w:ascii="Verdana" w:hAnsi="Verdana"/>
              <w:sz w:val="16"/>
            </w:rPr>
            <w:t>: February</w:t>
          </w:r>
          <w:r>
            <w:rPr>
              <w:rFonts w:ascii="Verdana" w:hAnsi="Verdana"/>
              <w:sz w:val="16"/>
            </w:rPr>
            <w:t xml:space="preserve">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63AC" w14:textId="77777777" w:rsidR="009D1972" w:rsidRDefault="009D1972" w:rsidP="003A3C28">
      <w:pPr>
        <w:spacing w:after="0" w:line="240" w:lineRule="auto"/>
      </w:pPr>
      <w:r>
        <w:separator/>
      </w:r>
    </w:p>
  </w:footnote>
  <w:footnote w:type="continuationSeparator" w:id="0">
    <w:p w14:paraId="725CF46A" w14:textId="77777777" w:rsidR="009D1972" w:rsidRDefault="009D1972"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476981"/>
    <w:multiLevelType w:val="multilevel"/>
    <w:tmpl w:val="720485E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15:restartNumberingAfterBreak="0">
    <w:nsid w:val="3DF405C7"/>
    <w:multiLevelType w:val="multilevel"/>
    <w:tmpl w:val="900224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15:restartNumberingAfterBreak="0">
    <w:nsid w:val="54A20FE9"/>
    <w:multiLevelType w:val="hybridMultilevel"/>
    <w:tmpl w:val="40DA4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13"/>
  </w:num>
  <w:num w:numId="6">
    <w:abstractNumId w:val="1"/>
  </w:num>
  <w:num w:numId="7">
    <w:abstractNumId w:val="12"/>
  </w:num>
  <w:num w:numId="8">
    <w:abstractNumId w:val="0"/>
  </w:num>
  <w:num w:numId="9">
    <w:abstractNumId w:val="8"/>
  </w:num>
  <w:num w:numId="10">
    <w:abstractNumId w:val="11"/>
  </w:num>
  <w:num w:numId="11">
    <w:abstractNumId w:val="2"/>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170D5"/>
    <w:rsid w:val="00063253"/>
    <w:rsid w:val="00084705"/>
    <w:rsid w:val="000D2971"/>
    <w:rsid w:val="001762C4"/>
    <w:rsid w:val="00201157"/>
    <w:rsid w:val="002057BC"/>
    <w:rsid w:val="00214AF5"/>
    <w:rsid w:val="002D528E"/>
    <w:rsid w:val="003056CD"/>
    <w:rsid w:val="00360DD8"/>
    <w:rsid w:val="00393831"/>
    <w:rsid w:val="0039659E"/>
    <w:rsid w:val="003A3C28"/>
    <w:rsid w:val="003F6055"/>
    <w:rsid w:val="00404B9A"/>
    <w:rsid w:val="00413B54"/>
    <w:rsid w:val="00494DF8"/>
    <w:rsid w:val="004F5059"/>
    <w:rsid w:val="004F6563"/>
    <w:rsid w:val="00533FCF"/>
    <w:rsid w:val="005939BB"/>
    <w:rsid w:val="005F6A27"/>
    <w:rsid w:val="0060281D"/>
    <w:rsid w:val="00645B1A"/>
    <w:rsid w:val="006B6F56"/>
    <w:rsid w:val="006E320F"/>
    <w:rsid w:val="006F090E"/>
    <w:rsid w:val="00720531"/>
    <w:rsid w:val="007415EA"/>
    <w:rsid w:val="00757ED0"/>
    <w:rsid w:val="007A79C8"/>
    <w:rsid w:val="007F62B2"/>
    <w:rsid w:val="008B0A06"/>
    <w:rsid w:val="008B2700"/>
    <w:rsid w:val="00916F83"/>
    <w:rsid w:val="009C4D13"/>
    <w:rsid w:val="009D1972"/>
    <w:rsid w:val="009F09A9"/>
    <w:rsid w:val="009F2A7C"/>
    <w:rsid w:val="009F2C21"/>
    <w:rsid w:val="00A05F37"/>
    <w:rsid w:val="00A12ED0"/>
    <w:rsid w:val="00A233C8"/>
    <w:rsid w:val="00A704FA"/>
    <w:rsid w:val="00AD1203"/>
    <w:rsid w:val="00B6113F"/>
    <w:rsid w:val="00B77A13"/>
    <w:rsid w:val="00B95C74"/>
    <w:rsid w:val="00C27BB6"/>
    <w:rsid w:val="00CF40F5"/>
    <w:rsid w:val="00CF433E"/>
    <w:rsid w:val="00D64A1F"/>
    <w:rsid w:val="00D90D55"/>
    <w:rsid w:val="00E719C7"/>
    <w:rsid w:val="00EA05AB"/>
    <w:rsid w:val="00EA3A2D"/>
    <w:rsid w:val="00EC54F3"/>
    <w:rsid w:val="00F26B73"/>
    <w:rsid w:val="00F609A9"/>
    <w:rsid w:val="00FF3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71"/>
    <w:rPr>
      <w:color w:val="0563C1" w:themeColor="hyperlink"/>
      <w:u w:val="single"/>
    </w:rPr>
  </w:style>
  <w:style w:type="character" w:styleId="UnresolvedMention">
    <w:name w:val="Unresolved Mention"/>
    <w:basedOn w:val="DefaultParagraphFont"/>
    <w:uiPriority w:val="99"/>
    <w:semiHidden/>
    <w:unhideWhenUsed/>
    <w:rsid w:val="000D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o.org/documents/card/en/c/cc6125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14</cp:revision>
  <dcterms:created xsi:type="dcterms:W3CDTF">2024-02-08T02:43:00Z</dcterms:created>
  <dcterms:modified xsi:type="dcterms:W3CDTF">2024-02-11T20:00:00Z</dcterms:modified>
</cp:coreProperties>
</file>