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2A23" w14:textId="2651F9BC" w:rsidR="003A3C28" w:rsidRPr="00413B54" w:rsidRDefault="003A3C28" w:rsidP="003A3C28">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sidR="000170D5">
        <w:rPr>
          <w:rFonts w:ascii="Verdana" w:hAnsi="Verdana"/>
          <w:sz w:val="22"/>
          <w:szCs w:val="18"/>
        </w:rPr>
        <w:t>6</w:t>
      </w:r>
      <w:r w:rsidRPr="00413B54">
        <w:rPr>
          <w:rFonts w:ascii="Verdana" w:hAnsi="Verdana"/>
          <w:sz w:val="22"/>
          <w:szCs w:val="18"/>
        </w:rPr>
        <w:t>.1</w:t>
      </w:r>
      <w:r w:rsidR="005939BB" w:rsidRPr="00413B54">
        <w:rPr>
          <w:rFonts w:ascii="Verdana" w:hAnsi="Verdana"/>
          <w:sz w:val="22"/>
          <w:szCs w:val="18"/>
        </w:rPr>
        <w:tab/>
      </w:r>
      <w:r w:rsidR="005939BB" w:rsidRPr="00413B54">
        <w:rPr>
          <w:rFonts w:ascii="Verdana" w:hAnsi="Verdana"/>
          <w:sz w:val="22"/>
          <w:szCs w:val="18"/>
        </w:rPr>
        <w:tab/>
      </w:r>
      <w:r w:rsidR="003B5786">
        <w:rPr>
          <w:rFonts w:ascii="Verdana" w:hAnsi="Verdana"/>
          <w:sz w:val="22"/>
          <w:szCs w:val="18"/>
        </w:rPr>
        <w:t>HACCP - Beer</w:t>
      </w:r>
    </w:p>
    <w:p w14:paraId="40341E12" w14:textId="2A727D78" w:rsidR="003A3C28" w:rsidRPr="00CF433E" w:rsidRDefault="003A3C28" w:rsidP="003A3C28">
      <w:pPr>
        <w:rPr>
          <w:rFonts w:ascii="Verdana" w:hAnsi="Verdana"/>
          <w:color w:val="FF0000"/>
          <w:lang w:eastAsia="zh-CN"/>
        </w:rPr>
      </w:pPr>
    </w:p>
    <w:p w14:paraId="7A6FC18A" w14:textId="472726EA" w:rsidR="00725FC1" w:rsidRDefault="00725FC1" w:rsidP="00725FC1">
      <w:pPr>
        <w:spacing w:after="0"/>
        <w:rPr>
          <w:rFonts w:ascii="Verdana" w:hAnsi="Verdana"/>
          <w:u w:val="single"/>
          <w:lang w:eastAsia="zh-CN"/>
        </w:rPr>
      </w:pPr>
      <w:r w:rsidRPr="00725FC1">
        <w:rPr>
          <w:rFonts w:ascii="Verdana" w:hAnsi="Verdana"/>
          <w:lang w:eastAsia="zh-CN"/>
        </w:rPr>
        <w:t>6.1.1</w:t>
      </w:r>
      <w:r w:rsidRPr="00725FC1">
        <w:rPr>
          <w:rFonts w:ascii="Verdana" w:hAnsi="Verdana"/>
          <w:lang w:eastAsia="zh-CN"/>
        </w:rPr>
        <w:tab/>
      </w:r>
      <w:r w:rsidR="00DD1A51">
        <w:rPr>
          <w:rFonts w:ascii="Verdana" w:hAnsi="Verdana"/>
          <w:u w:val="single"/>
          <w:lang w:eastAsia="zh-CN"/>
        </w:rPr>
        <w:t>Product Description -</w:t>
      </w:r>
      <w:r w:rsidRPr="00725FC1">
        <w:rPr>
          <w:rFonts w:ascii="Verdana" w:hAnsi="Verdana"/>
          <w:u w:val="single"/>
          <w:lang w:eastAsia="zh-CN"/>
        </w:rPr>
        <w:t xml:space="preserve"> Beer</w:t>
      </w:r>
      <w:r w:rsidR="008B2700" w:rsidRPr="00725FC1">
        <w:rPr>
          <w:rFonts w:ascii="Verdana" w:hAnsi="Verdana"/>
          <w:u w:val="single"/>
          <w:lang w:eastAsia="zh-CN"/>
        </w:rPr>
        <w:t xml:space="preserve"> </w:t>
      </w:r>
    </w:p>
    <w:p w14:paraId="50860784" w14:textId="40DB3EB3" w:rsidR="00725FC1" w:rsidRDefault="00725FC1" w:rsidP="00725FC1">
      <w:pPr>
        <w:spacing w:after="0"/>
        <w:rPr>
          <w:rFonts w:ascii="Verdana" w:hAnsi="Verdana"/>
          <w:u w:val="single"/>
          <w:lang w:eastAsia="zh-CN"/>
        </w:rPr>
      </w:pPr>
    </w:p>
    <w:tbl>
      <w:tblPr>
        <w:tblpPr w:leftFromText="180" w:rightFromText="180" w:vertAnchor="page" w:horzAnchor="margin" w:tblpXSpec="center" w:tblpY="27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442"/>
        <w:gridCol w:w="2789"/>
      </w:tblGrid>
      <w:tr w:rsidR="00DD1A51" w14:paraId="17BD7EBC" w14:textId="77777777" w:rsidTr="00DD1A51">
        <w:trPr>
          <w:cantSplit/>
        </w:trPr>
        <w:tc>
          <w:tcPr>
            <w:tcW w:w="2836" w:type="dxa"/>
            <w:tcBorders>
              <w:right w:val="single" w:sz="4" w:space="0" w:color="auto"/>
            </w:tcBorders>
          </w:tcPr>
          <w:p w14:paraId="76ADCB43"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Name:</w:t>
            </w:r>
          </w:p>
        </w:tc>
        <w:tc>
          <w:tcPr>
            <w:tcW w:w="3442" w:type="dxa"/>
            <w:tcBorders>
              <w:top w:val="single" w:sz="4" w:space="0" w:color="auto"/>
              <w:left w:val="single" w:sz="4" w:space="0" w:color="auto"/>
              <w:bottom w:val="single" w:sz="4" w:space="0" w:color="auto"/>
              <w:right w:val="nil"/>
            </w:tcBorders>
          </w:tcPr>
          <w:p w14:paraId="045BBF48" w14:textId="4DA4611C" w:rsidR="00DD1A51" w:rsidRPr="00BC699F" w:rsidRDefault="00DD1A51" w:rsidP="00DD1A51">
            <w:pPr>
              <w:pStyle w:val="TableText"/>
              <w:rPr>
                <w:rFonts w:ascii="Verdana" w:hAnsi="Verdana" w:cs="Arial"/>
                <w:bCs/>
                <w:sz w:val="20"/>
                <w:szCs w:val="22"/>
              </w:rPr>
            </w:pPr>
            <w:r w:rsidRPr="00BC699F">
              <w:rPr>
                <w:rFonts w:ascii="Verdana" w:hAnsi="Verdana" w:cs="Arial"/>
                <w:bCs/>
                <w:sz w:val="20"/>
                <w:szCs w:val="22"/>
              </w:rPr>
              <w:t>Beer</w:t>
            </w:r>
          </w:p>
        </w:tc>
        <w:tc>
          <w:tcPr>
            <w:tcW w:w="2789" w:type="dxa"/>
            <w:tcBorders>
              <w:top w:val="single" w:sz="4" w:space="0" w:color="auto"/>
              <w:left w:val="nil"/>
              <w:bottom w:val="single" w:sz="4" w:space="0" w:color="auto"/>
              <w:right w:val="single" w:sz="4" w:space="0" w:color="auto"/>
            </w:tcBorders>
          </w:tcPr>
          <w:p w14:paraId="4EC5DD09" w14:textId="77777777" w:rsidR="00DD1A51" w:rsidRPr="00BC699F" w:rsidRDefault="00DD1A51" w:rsidP="00DD1A51">
            <w:pPr>
              <w:pStyle w:val="TableText"/>
              <w:rPr>
                <w:rFonts w:ascii="Verdana" w:hAnsi="Verdana" w:cs="Arial"/>
                <w:b/>
                <w:sz w:val="20"/>
                <w:szCs w:val="22"/>
              </w:rPr>
            </w:pPr>
          </w:p>
        </w:tc>
      </w:tr>
      <w:tr w:rsidR="00DD1A51" w14:paraId="64597F3E" w14:textId="77777777" w:rsidTr="00DD1A51">
        <w:trPr>
          <w:cantSplit/>
          <w:trHeight w:val="969"/>
        </w:trPr>
        <w:tc>
          <w:tcPr>
            <w:tcW w:w="2836" w:type="dxa"/>
          </w:tcPr>
          <w:p w14:paraId="5BB3AB51"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Description</w:t>
            </w:r>
          </w:p>
        </w:tc>
        <w:tc>
          <w:tcPr>
            <w:tcW w:w="6231" w:type="dxa"/>
            <w:gridSpan w:val="2"/>
            <w:tcBorders>
              <w:top w:val="single" w:sz="4" w:space="0" w:color="auto"/>
            </w:tcBorders>
            <w:vAlign w:val="center"/>
          </w:tcPr>
          <w:p w14:paraId="16C02509" w14:textId="606FE28E" w:rsidR="00DD1A51" w:rsidRPr="00BC699F" w:rsidRDefault="00DB3C1E" w:rsidP="00F86CB7">
            <w:pPr>
              <w:autoSpaceDE w:val="0"/>
              <w:autoSpaceDN w:val="0"/>
              <w:adjustRightInd w:val="0"/>
              <w:rPr>
                <w:rFonts w:ascii="Verdana" w:hAnsi="Verdana" w:cs="Arial"/>
                <w:sz w:val="20"/>
              </w:rPr>
            </w:pPr>
            <w:r w:rsidRPr="00BC699F">
              <w:rPr>
                <w:rFonts w:ascii="Verdana" w:hAnsi="Verdana" w:cs="Arial"/>
                <w:sz w:val="20"/>
              </w:rPr>
              <w:t xml:space="preserve">Beer is a fermented beverage </w:t>
            </w:r>
            <w:r w:rsidR="00F86CB7" w:rsidRPr="00BC699F">
              <w:rPr>
                <w:rFonts w:ascii="Verdana" w:hAnsi="Verdana" w:cs="Arial"/>
                <w:sz w:val="20"/>
              </w:rPr>
              <w:t>made by the yeast fermentation of an aqueous extract of malted or unmalted cereals, or both in the presence of hops; may have any of the following added during production: cereal products or other sources of carbohydrate, sugar, salt and/or herbs and spices.</w:t>
            </w:r>
          </w:p>
        </w:tc>
      </w:tr>
      <w:tr w:rsidR="00DD1A51" w14:paraId="108D2C64" w14:textId="77777777" w:rsidTr="00947476">
        <w:trPr>
          <w:cantSplit/>
          <w:trHeight w:val="773"/>
        </w:trPr>
        <w:tc>
          <w:tcPr>
            <w:tcW w:w="2836" w:type="dxa"/>
          </w:tcPr>
          <w:p w14:paraId="58735779" w14:textId="4AD05274"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Variant</w:t>
            </w:r>
            <w:r w:rsidR="00947476" w:rsidRPr="00BC699F">
              <w:rPr>
                <w:rFonts w:ascii="Verdana" w:hAnsi="Verdana" w:cs="Arial"/>
                <w:b/>
                <w:sz w:val="20"/>
                <w:szCs w:val="22"/>
              </w:rPr>
              <w:t xml:space="preserve"> Examples</w:t>
            </w:r>
          </w:p>
        </w:tc>
        <w:tc>
          <w:tcPr>
            <w:tcW w:w="6231" w:type="dxa"/>
            <w:gridSpan w:val="2"/>
            <w:tcBorders>
              <w:top w:val="single" w:sz="4" w:space="0" w:color="auto"/>
            </w:tcBorders>
          </w:tcPr>
          <w:p w14:paraId="5BEF90A7" w14:textId="7D6F5A36" w:rsidR="00DD1A51" w:rsidRPr="00BC699F" w:rsidRDefault="00DD1A51" w:rsidP="00947476">
            <w:pPr>
              <w:rPr>
                <w:rFonts w:ascii="Verdana" w:hAnsi="Verdana"/>
                <w:sz w:val="20"/>
                <w:lang w:eastAsia="zh-CN"/>
              </w:rPr>
            </w:pPr>
            <w:r w:rsidRPr="00BC699F">
              <w:rPr>
                <w:rFonts w:ascii="Verdana" w:hAnsi="Verdana"/>
                <w:sz w:val="20"/>
                <w:lang w:eastAsia="zh-CN"/>
              </w:rPr>
              <w:t xml:space="preserve">Ale, </w:t>
            </w:r>
            <w:r w:rsidR="00F86CB7" w:rsidRPr="00BC699F">
              <w:rPr>
                <w:rFonts w:ascii="Verdana" w:hAnsi="Verdana"/>
                <w:sz w:val="20"/>
                <w:lang w:eastAsia="zh-CN"/>
              </w:rPr>
              <w:t xml:space="preserve">Lager, </w:t>
            </w:r>
            <w:r w:rsidR="000E3A28">
              <w:rPr>
                <w:rFonts w:ascii="Verdana" w:hAnsi="Verdana"/>
                <w:sz w:val="20"/>
                <w:lang w:eastAsia="zh-CN"/>
              </w:rPr>
              <w:t xml:space="preserve">Bitter, </w:t>
            </w:r>
            <w:r w:rsidRPr="00BC699F">
              <w:rPr>
                <w:rFonts w:ascii="Verdana" w:hAnsi="Verdana"/>
                <w:sz w:val="20"/>
                <w:lang w:eastAsia="zh-CN"/>
              </w:rPr>
              <w:t xml:space="preserve">Wheat Beer, Porter, Pilsner, </w:t>
            </w:r>
            <w:r w:rsidR="00F86CB7" w:rsidRPr="00BC699F">
              <w:rPr>
                <w:rFonts w:ascii="Verdana" w:hAnsi="Verdana"/>
                <w:sz w:val="20"/>
                <w:lang w:eastAsia="zh-CN"/>
              </w:rPr>
              <w:t xml:space="preserve">Stout, </w:t>
            </w:r>
            <w:r w:rsidRPr="00BC699F">
              <w:rPr>
                <w:rFonts w:ascii="Verdana" w:hAnsi="Verdana"/>
                <w:sz w:val="20"/>
                <w:lang w:eastAsia="zh-CN"/>
              </w:rPr>
              <w:t xml:space="preserve">Sour Beer, </w:t>
            </w:r>
            <w:r w:rsidR="000E3A28">
              <w:rPr>
                <w:rFonts w:ascii="Verdana" w:hAnsi="Verdana"/>
                <w:sz w:val="20"/>
                <w:lang w:eastAsia="zh-CN"/>
              </w:rPr>
              <w:t xml:space="preserve">Helles, </w:t>
            </w:r>
            <w:proofErr w:type="spellStart"/>
            <w:r w:rsidRPr="00BC699F">
              <w:rPr>
                <w:rFonts w:ascii="Verdana" w:hAnsi="Verdana"/>
                <w:sz w:val="20"/>
                <w:lang w:eastAsia="zh-CN"/>
              </w:rPr>
              <w:t>Braggot</w:t>
            </w:r>
            <w:proofErr w:type="spellEnd"/>
          </w:p>
        </w:tc>
      </w:tr>
      <w:tr w:rsidR="00DD1A51" w14:paraId="549582FC" w14:textId="77777777" w:rsidTr="00947476">
        <w:trPr>
          <w:cantSplit/>
          <w:trHeight w:val="556"/>
        </w:trPr>
        <w:tc>
          <w:tcPr>
            <w:tcW w:w="2836" w:type="dxa"/>
          </w:tcPr>
          <w:p w14:paraId="12ECA404"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use</w:t>
            </w:r>
          </w:p>
        </w:tc>
        <w:tc>
          <w:tcPr>
            <w:tcW w:w="6231" w:type="dxa"/>
            <w:gridSpan w:val="2"/>
            <w:vAlign w:val="center"/>
          </w:tcPr>
          <w:p w14:paraId="1BF5D590" w14:textId="77777777" w:rsidR="008A2373" w:rsidRPr="00BC699F" w:rsidRDefault="008A2373" w:rsidP="008A2373">
            <w:pPr>
              <w:pStyle w:val="TableText"/>
              <w:spacing w:before="0" w:after="0"/>
              <w:rPr>
                <w:rFonts w:ascii="Verdana" w:hAnsi="Verdana" w:cs="Arial"/>
                <w:sz w:val="20"/>
                <w:szCs w:val="22"/>
              </w:rPr>
            </w:pPr>
            <w:r w:rsidRPr="00BC699F">
              <w:rPr>
                <w:rFonts w:ascii="Verdana" w:hAnsi="Verdana" w:cs="Arial"/>
                <w:sz w:val="20"/>
                <w:szCs w:val="22"/>
              </w:rPr>
              <w:t>Direct consumption</w:t>
            </w:r>
          </w:p>
          <w:p w14:paraId="1B5CDCF6" w14:textId="410EAC3C" w:rsidR="00DD1A51" w:rsidRPr="00BC699F" w:rsidRDefault="008A2373" w:rsidP="008A2373">
            <w:pPr>
              <w:pStyle w:val="TableText"/>
              <w:spacing w:before="0" w:after="0"/>
              <w:rPr>
                <w:rFonts w:ascii="Verdana" w:hAnsi="Verdana" w:cs="Arial"/>
                <w:sz w:val="20"/>
                <w:szCs w:val="22"/>
              </w:rPr>
            </w:pPr>
            <w:r w:rsidRPr="00BC699F">
              <w:rPr>
                <w:rFonts w:ascii="Verdana" w:hAnsi="Verdana" w:cs="Arial"/>
                <w:sz w:val="20"/>
                <w:szCs w:val="22"/>
              </w:rPr>
              <w:t>Culinary use</w:t>
            </w:r>
          </w:p>
        </w:tc>
      </w:tr>
      <w:tr w:rsidR="00DD1A51" w14:paraId="5B1B1C72" w14:textId="77777777" w:rsidTr="00B37B21">
        <w:trPr>
          <w:cantSplit/>
          <w:trHeight w:val="744"/>
        </w:trPr>
        <w:tc>
          <w:tcPr>
            <w:tcW w:w="2836" w:type="dxa"/>
          </w:tcPr>
          <w:p w14:paraId="06CEF18A" w14:textId="25271A51"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Intended customers</w:t>
            </w:r>
          </w:p>
        </w:tc>
        <w:tc>
          <w:tcPr>
            <w:tcW w:w="6231" w:type="dxa"/>
            <w:gridSpan w:val="2"/>
            <w:vAlign w:val="center"/>
          </w:tcPr>
          <w:p w14:paraId="4C0CCB7D" w14:textId="77777777" w:rsidR="00B37B21" w:rsidRPr="00BC699F" w:rsidRDefault="00B37B21" w:rsidP="00B37B21">
            <w:pPr>
              <w:pStyle w:val="TableText"/>
              <w:spacing w:before="0" w:after="0"/>
              <w:rPr>
                <w:rFonts w:ascii="Verdana" w:hAnsi="Verdana" w:cs="Arial"/>
                <w:sz w:val="20"/>
                <w:szCs w:val="22"/>
              </w:rPr>
            </w:pPr>
            <w:r w:rsidRPr="00BC699F">
              <w:rPr>
                <w:rFonts w:ascii="Verdana" w:hAnsi="Verdana" w:cs="Arial"/>
                <w:sz w:val="20"/>
                <w:szCs w:val="22"/>
              </w:rPr>
              <w:t>General public – Adults</w:t>
            </w:r>
          </w:p>
          <w:p w14:paraId="4C14F580" w14:textId="420FFDA2" w:rsidR="00DD1A51" w:rsidRPr="00BC699F" w:rsidRDefault="00B37B21" w:rsidP="00B37B21">
            <w:pPr>
              <w:pStyle w:val="TableText"/>
              <w:spacing w:before="0" w:after="0"/>
              <w:rPr>
                <w:rFonts w:ascii="Verdana" w:hAnsi="Verdana" w:cs="Arial"/>
                <w:sz w:val="20"/>
                <w:szCs w:val="22"/>
              </w:rPr>
            </w:pPr>
            <w:r w:rsidRPr="00BC699F">
              <w:rPr>
                <w:rFonts w:ascii="Verdana" w:hAnsi="Verdana" w:cs="Arial"/>
                <w:sz w:val="20"/>
                <w:szCs w:val="22"/>
              </w:rPr>
              <w:t>(Not intended for children and pregnant women)</w:t>
            </w:r>
          </w:p>
        </w:tc>
      </w:tr>
      <w:tr w:rsidR="0017424D" w14:paraId="4FEE364D" w14:textId="77777777" w:rsidTr="00DD1A51">
        <w:trPr>
          <w:cantSplit/>
          <w:trHeight w:val="433"/>
        </w:trPr>
        <w:tc>
          <w:tcPr>
            <w:tcW w:w="2836" w:type="dxa"/>
          </w:tcPr>
          <w:p w14:paraId="1A8D197D" w14:textId="011DA292" w:rsidR="0017424D" w:rsidRPr="00BC699F" w:rsidRDefault="0017424D" w:rsidP="00DD1A51">
            <w:pPr>
              <w:pStyle w:val="TableText"/>
              <w:rPr>
                <w:rFonts w:ascii="Verdana" w:hAnsi="Verdana" w:cs="Arial"/>
                <w:b/>
                <w:sz w:val="20"/>
                <w:szCs w:val="22"/>
              </w:rPr>
            </w:pPr>
            <w:r w:rsidRPr="00BC699F">
              <w:rPr>
                <w:rFonts w:ascii="Verdana" w:hAnsi="Verdana" w:cs="Arial"/>
                <w:b/>
                <w:sz w:val="20"/>
                <w:szCs w:val="22"/>
              </w:rPr>
              <w:t>Potential for Abuse</w:t>
            </w:r>
          </w:p>
        </w:tc>
        <w:tc>
          <w:tcPr>
            <w:tcW w:w="6231" w:type="dxa"/>
            <w:gridSpan w:val="2"/>
            <w:vAlign w:val="center"/>
          </w:tcPr>
          <w:p w14:paraId="737546A8" w14:textId="77777777" w:rsidR="0017424D" w:rsidRPr="00BC699F" w:rsidRDefault="0017424D" w:rsidP="0017424D">
            <w:pPr>
              <w:rPr>
                <w:rFonts w:ascii="Verdana" w:eastAsia="Times New Roman" w:hAnsi="Verdana" w:cs="Arial"/>
                <w:sz w:val="20"/>
              </w:rPr>
            </w:pPr>
            <w:r w:rsidRPr="00BC699F">
              <w:rPr>
                <w:rFonts w:ascii="Verdana" w:eastAsia="Times New Roman" w:hAnsi="Verdana" w:cs="Arial"/>
                <w:sz w:val="20"/>
              </w:rPr>
              <w:t>Negligible; products are shelf stable.</w:t>
            </w:r>
          </w:p>
          <w:p w14:paraId="3217A3A8" w14:textId="75248C05" w:rsidR="0017424D" w:rsidRPr="00BC699F" w:rsidRDefault="0017424D" w:rsidP="0017424D">
            <w:pPr>
              <w:autoSpaceDE w:val="0"/>
              <w:autoSpaceDN w:val="0"/>
              <w:adjustRightInd w:val="0"/>
              <w:rPr>
                <w:rFonts w:ascii="Verdana" w:hAnsi="Verdana" w:cs="Arial"/>
                <w:sz w:val="20"/>
              </w:rPr>
            </w:pPr>
            <w:r w:rsidRPr="00BC699F">
              <w:rPr>
                <w:rFonts w:ascii="Verdana" w:eastAsia="Times New Roman" w:hAnsi="Verdana" w:cs="Arial"/>
                <w:sz w:val="20"/>
              </w:rPr>
              <w:t xml:space="preserve">Spoilage, mainly due to yeasts or moulds, or </w:t>
            </w:r>
            <w:r w:rsidRPr="00BC699F">
              <w:rPr>
                <w:rFonts w:ascii="Verdana" w:eastAsia="Times New Roman" w:hAnsi="Verdana" w:cs="Arial"/>
                <w:i/>
                <w:iCs/>
                <w:sz w:val="20"/>
              </w:rPr>
              <w:t>Lactobacillus</w:t>
            </w:r>
            <w:r w:rsidRPr="00BC699F">
              <w:rPr>
                <w:rFonts w:ascii="Verdana" w:eastAsia="Times New Roman" w:hAnsi="Verdana" w:cs="Arial"/>
                <w:sz w:val="20"/>
              </w:rPr>
              <w:t xml:space="preserve"> species, may occur if packaging integrity breached - this would render the product unsaleable.</w:t>
            </w:r>
          </w:p>
        </w:tc>
      </w:tr>
      <w:tr w:rsidR="00DD1A51" w14:paraId="50EC0934" w14:textId="77777777" w:rsidTr="00DD1A51">
        <w:trPr>
          <w:cantSplit/>
          <w:trHeight w:val="433"/>
        </w:trPr>
        <w:tc>
          <w:tcPr>
            <w:tcW w:w="2836" w:type="dxa"/>
          </w:tcPr>
          <w:p w14:paraId="7ABF76D1"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Ingredients</w:t>
            </w:r>
          </w:p>
        </w:tc>
        <w:tc>
          <w:tcPr>
            <w:tcW w:w="6231" w:type="dxa"/>
            <w:gridSpan w:val="2"/>
            <w:vAlign w:val="center"/>
          </w:tcPr>
          <w:p w14:paraId="1E3E23B1" w14:textId="7BAE8D3B" w:rsidR="00DD1A51" w:rsidRPr="00BC699F" w:rsidRDefault="006F4E75" w:rsidP="00DD1A51">
            <w:pPr>
              <w:autoSpaceDE w:val="0"/>
              <w:autoSpaceDN w:val="0"/>
              <w:adjustRightInd w:val="0"/>
              <w:rPr>
                <w:rFonts w:ascii="Verdana" w:hAnsi="Verdana" w:cs="Arial"/>
                <w:sz w:val="20"/>
              </w:rPr>
            </w:pPr>
            <w:r w:rsidRPr="00BC699F">
              <w:rPr>
                <w:rFonts w:ascii="Verdana" w:hAnsi="Verdana" w:cs="Arial"/>
                <w:sz w:val="20"/>
              </w:rPr>
              <w:t xml:space="preserve">Water, </w:t>
            </w:r>
            <w:r w:rsidR="004934DD" w:rsidRPr="00BC699F">
              <w:rPr>
                <w:rFonts w:ascii="Verdana" w:hAnsi="Verdana" w:cs="Arial"/>
                <w:sz w:val="20"/>
              </w:rPr>
              <w:t>m</w:t>
            </w:r>
            <w:r w:rsidRPr="00BC699F">
              <w:rPr>
                <w:rFonts w:ascii="Verdana" w:hAnsi="Verdana" w:cs="Arial"/>
                <w:sz w:val="20"/>
              </w:rPr>
              <w:t xml:space="preserve">alt, </w:t>
            </w:r>
            <w:r w:rsidR="004934DD" w:rsidRPr="00BC699F">
              <w:rPr>
                <w:rFonts w:ascii="Verdana" w:hAnsi="Verdana" w:cs="Arial"/>
                <w:sz w:val="20"/>
              </w:rPr>
              <w:t>h</w:t>
            </w:r>
            <w:r w:rsidRPr="00BC699F">
              <w:rPr>
                <w:rFonts w:ascii="Verdana" w:hAnsi="Verdana" w:cs="Arial"/>
                <w:sz w:val="20"/>
              </w:rPr>
              <w:t xml:space="preserve">ops &amp; </w:t>
            </w:r>
            <w:r w:rsidR="004934DD" w:rsidRPr="00BC699F">
              <w:rPr>
                <w:rFonts w:ascii="Verdana" w:hAnsi="Verdana" w:cs="Arial"/>
                <w:sz w:val="20"/>
              </w:rPr>
              <w:t>y</w:t>
            </w:r>
            <w:r w:rsidRPr="00BC699F">
              <w:rPr>
                <w:rFonts w:ascii="Verdana" w:hAnsi="Verdana" w:cs="Arial"/>
                <w:sz w:val="20"/>
              </w:rPr>
              <w:t>east</w:t>
            </w:r>
            <w:r w:rsidR="0046187A" w:rsidRPr="00BC699F">
              <w:rPr>
                <w:rFonts w:ascii="Verdana" w:hAnsi="Verdana" w:cs="Arial"/>
                <w:sz w:val="20"/>
              </w:rPr>
              <w:t>,</w:t>
            </w:r>
            <w:r w:rsidRPr="00BC699F">
              <w:rPr>
                <w:rFonts w:ascii="Verdana" w:hAnsi="Verdana" w:cs="Arial"/>
                <w:sz w:val="20"/>
              </w:rPr>
              <w:t xml:space="preserve"> may </w:t>
            </w:r>
            <w:r w:rsidR="0046187A" w:rsidRPr="00BC699F">
              <w:rPr>
                <w:rFonts w:ascii="Verdana" w:hAnsi="Verdana" w:cs="Arial"/>
                <w:sz w:val="20"/>
              </w:rPr>
              <w:t>include</w:t>
            </w:r>
            <w:r w:rsidRPr="00BC699F">
              <w:rPr>
                <w:rFonts w:ascii="Verdana" w:hAnsi="Verdana" w:cs="Arial"/>
                <w:sz w:val="20"/>
              </w:rPr>
              <w:t xml:space="preserve"> cereal products or other sources of carbohydrate, sugar, salt and/or herbs and spices.</w:t>
            </w:r>
          </w:p>
        </w:tc>
      </w:tr>
      <w:tr w:rsidR="00DD1A51" w14:paraId="250E8BBD" w14:textId="77777777" w:rsidTr="00DD1A51">
        <w:trPr>
          <w:cantSplit/>
        </w:trPr>
        <w:tc>
          <w:tcPr>
            <w:tcW w:w="2836" w:type="dxa"/>
            <w:shd w:val="clear" w:color="auto" w:fill="auto"/>
          </w:tcPr>
          <w:p w14:paraId="6D1734BB"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Product Storage Requirements and Display Shelf Life</w:t>
            </w:r>
          </w:p>
        </w:tc>
        <w:tc>
          <w:tcPr>
            <w:tcW w:w="6231" w:type="dxa"/>
            <w:gridSpan w:val="2"/>
            <w:shd w:val="clear" w:color="auto" w:fill="FFFFFF"/>
            <w:vAlign w:val="center"/>
          </w:tcPr>
          <w:p w14:paraId="2E4EEE09" w14:textId="65E3FC5B" w:rsidR="00DD1A51" w:rsidRPr="00BC699F" w:rsidRDefault="004319E6" w:rsidP="00DD1A51">
            <w:pPr>
              <w:pStyle w:val="TableText"/>
              <w:rPr>
                <w:rFonts w:ascii="Verdana" w:hAnsi="Verdana" w:cs="Arial"/>
                <w:sz w:val="20"/>
                <w:szCs w:val="22"/>
                <w:highlight w:val="yellow"/>
              </w:rPr>
            </w:pPr>
            <w:r w:rsidRPr="00BC699F">
              <w:rPr>
                <w:rFonts w:ascii="Verdana" w:hAnsi="Verdana" w:cs="Arial"/>
                <w:sz w:val="20"/>
                <w:szCs w:val="22"/>
              </w:rPr>
              <w:t>Beer is shelf stable can be stored in ambient conditions. Typically for best quality it is recommend the beer is chilled prior to consuming.</w:t>
            </w:r>
          </w:p>
        </w:tc>
      </w:tr>
      <w:tr w:rsidR="00DD1A51" w14:paraId="28CD99AA" w14:textId="77777777" w:rsidTr="00DD1A51">
        <w:trPr>
          <w:cantSplit/>
          <w:trHeight w:val="704"/>
        </w:trPr>
        <w:tc>
          <w:tcPr>
            <w:tcW w:w="2836" w:type="dxa"/>
          </w:tcPr>
          <w:p w14:paraId="3A139B8A" w14:textId="1EBA70DB"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Preparation and </w:t>
            </w:r>
            <w:r w:rsidR="00BC699F" w:rsidRPr="00BC699F">
              <w:rPr>
                <w:rFonts w:ascii="Verdana" w:hAnsi="Verdana" w:cs="Arial"/>
                <w:b/>
                <w:sz w:val="20"/>
                <w:szCs w:val="22"/>
              </w:rPr>
              <w:t>serving</w:t>
            </w:r>
            <w:r w:rsidRPr="00BC699F">
              <w:rPr>
                <w:rFonts w:ascii="Verdana" w:hAnsi="Verdana" w:cs="Arial"/>
                <w:b/>
                <w:sz w:val="20"/>
                <w:szCs w:val="22"/>
              </w:rPr>
              <w:t xml:space="preserve"> </w:t>
            </w:r>
          </w:p>
        </w:tc>
        <w:tc>
          <w:tcPr>
            <w:tcW w:w="6231" w:type="dxa"/>
            <w:gridSpan w:val="2"/>
            <w:vAlign w:val="center"/>
          </w:tcPr>
          <w:p w14:paraId="1D42DAB8" w14:textId="0E6EC815" w:rsidR="00DD1A51" w:rsidRPr="00BC699F" w:rsidRDefault="00BC699F" w:rsidP="00DD1A51">
            <w:pPr>
              <w:autoSpaceDE w:val="0"/>
              <w:autoSpaceDN w:val="0"/>
              <w:adjustRightInd w:val="0"/>
              <w:rPr>
                <w:rFonts w:ascii="Verdana" w:hAnsi="Verdana" w:cs="Arial"/>
                <w:sz w:val="20"/>
                <w:highlight w:val="yellow"/>
              </w:rPr>
            </w:pPr>
            <w:r w:rsidRPr="00BC699F">
              <w:rPr>
                <w:rFonts w:ascii="Verdana" w:hAnsi="Verdana" w:cs="Arial"/>
                <w:sz w:val="20"/>
              </w:rPr>
              <w:t>Products are all ready to eat (drink).</w:t>
            </w:r>
          </w:p>
        </w:tc>
      </w:tr>
      <w:tr w:rsidR="00DD1A51" w14:paraId="676E0F95" w14:textId="77777777" w:rsidTr="00DD1A51">
        <w:trPr>
          <w:cantSplit/>
          <w:trHeight w:val="456"/>
        </w:trPr>
        <w:tc>
          <w:tcPr>
            <w:tcW w:w="2836" w:type="dxa"/>
            <w:vAlign w:val="center"/>
          </w:tcPr>
          <w:p w14:paraId="728CD9E8"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Packaging</w:t>
            </w:r>
          </w:p>
        </w:tc>
        <w:tc>
          <w:tcPr>
            <w:tcW w:w="6231" w:type="dxa"/>
            <w:gridSpan w:val="2"/>
            <w:vAlign w:val="center"/>
          </w:tcPr>
          <w:p w14:paraId="2090A09B" w14:textId="5D2A352B" w:rsidR="00DD1A51" w:rsidRPr="00BC699F" w:rsidRDefault="00BC699F" w:rsidP="00DD1A51">
            <w:pPr>
              <w:pStyle w:val="TableText"/>
              <w:spacing w:before="0" w:after="0"/>
              <w:rPr>
                <w:rFonts w:ascii="Verdana" w:hAnsi="Verdana"/>
                <w:sz w:val="20"/>
                <w:szCs w:val="22"/>
              </w:rPr>
            </w:pPr>
            <w:r w:rsidRPr="00BC699F">
              <w:rPr>
                <w:rFonts w:ascii="Verdana" w:hAnsi="Verdana"/>
                <w:sz w:val="20"/>
                <w:szCs w:val="22"/>
              </w:rPr>
              <w:t>Bottle, Cans, Kegs, etc</w:t>
            </w:r>
          </w:p>
        </w:tc>
      </w:tr>
      <w:tr w:rsidR="00DD1A51" w14:paraId="6DEB0D64" w14:textId="77777777" w:rsidTr="00DD1A51">
        <w:trPr>
          <w:cantSplit/>
        </w:trPr>
        <w:tc>
          <w:tcPr>
            <w:tcW w:w="2836" w:type="dxa"/>
          </w:tcPr>
          <w:p w14:paraId="0458A697" w14:textId="78E38D49"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Transport </w:t>
            </w:r>
            <w:r w:rsidR="00BC699F" w:rsidRPr="00BC699F">
              <w:rPr>
                <w:rFonts w:ascii="Verdana" w:hAnsi="Verdana" w:cs="Arial"/>
                <w:b/>
                <w:sz w:val="20"/>
                <w:szCs w:val="22"/>
              </w:rPr>
              <w:t>Conditions</w:t>
            </w:r>
          </w:p>
        </w:tc>
        <w:tc>
          <w:tcPr>
            <w:tcW w:w="6231" w:type="dxa"/>
            <w:gridSpan w:val="2"/>
          </w:tcPr>
          <w:p w14:paraId="57FBB211" w14:textId="5F62466F" w:rsidR="00DD1A51" w:rsidRPr="00BC699F" w:rsidRDefault="00BC699F" w:rsidP="00DD1A51">
            <w:pPr>
              <w:pStyle w:val="TableText"/>
              <w:rPr>
                <w:rFonts w:ascii="Verdana" w:hAnsi="Verdana" w:cs="Arial"/>
                <w:sz w:val="20"/>
                <w:szCs w:val="22"/>
              </w:rPr>
            </w:pPr>
            <w:r w:rsidRPr="00BC699F">
              <w:rPr>
                <w:rFonts w:ascii="Verdana" w:hAnsi="Verdana" w:cs="Arial"/>
                <w:sz w:val="20"/>
                <w:szCs w:val="22"/>
              </w:rPr>
              <w:t>Ambient</w:t>
            </w:r>
          </w:p>
        </w:tc>
      </w:tr>
      <w:tr w:rsidR="00BC699F" w14:paraId="305EFECE" w14:textId="77777777" w:rsidTr="00DD1A51">
        <w:trPr>
          <w:cantSplit/>
        </w:trPr>
        <w:tc>
          <w:tcPr>
            <w:tcW w:w="2836" w:type="dxa"/>
          </w:tcPr>
          <w:p w14:paraId="79EBDA51" w14:textId="13D23AA5" w:rsidR="00BC699F" w:rsidRPr="00BC699F" w:rsidRDefault="00BC699F" w:rsidP="00DD1A51">
            <w:pPr>
              <w:pStyle w:val="TableText"/>
              <w:rPr>
                <w:rFonts w:ascii="Verdana" w:hAnsi="Verdana" w:cs="Arial"/>
                <w:b/>
                <w:sz w:val="20"/>
                <w:szCs w:val="22"/>
              </w:rPr>
            </w:pPr>
            <w:r w:rsidRPr="00BC699F">
              <w:rPr>
                <w:rFonts w:ascii="Verdana" w:hAnsi="Verdana" w:cs="Arial"/>
                <w:b/>
                <w:sz w:val="20"/>
                <w:szCs w:val="22"/>
              </w:rPr>
              <w:t>Labelling</w:t>
            </w:r>
          </w:p>
        </w:tc>
        <w:tc>
          <w:tcPr>
            <w:tcW w:w="6231" w:type="dxa"/>
            <w:gridSpan w:val="2"/>
          </w:tcPr>
          <w:p w14:paraId="68236177" w14:textId="07213611" w:rsidR="00BC699F" w:rsidRPr="00BC699F" w:rsidRDefault="008769DA" w:rsidP="00DD1A51">
            <w:pPr>
              <w:pStyle w:val="TableText"/>
              <w:rPr>
                <w:rFonts w:ascii="Verdana" w:hAnsi="Verdana" w:cs="Arial"/>
                <w:sz w:val="20"/>
                <w:szCs w:val="22"/>
              </w:rPr>
            </w:pPr>
            <w:r w:rsidRPr="008769DA">
              <w:rPr>
                <w:rFonts w:ascii="Verdana" w:hAnsi="Verdana" w:cs="Arial"/>
                <w:sz w:val="20"/>
                <w:szCs w:val="22"/>
              </w:rPr>
              <w:t>Designed to meet the requirements of the Food Standards Code (Parts 1 and 2) – as applicable</w:t>
            </w:r>
          </w:p>
        </w:tc>
      </w:tr>
      <w:tr w:rsidR="00DD1A51" w14:paraId="1CF5BACE" w14:textId="77777777" w:rsidTr="00DD1A51">
        <w:trPr>
          <w:cantSplit/>
          <w:trHeight w:val="709"/>
        </w:trPr>
        <w:tc>
          <w:tcPr>
            <w:tcW w:w="2836" w:type="dxa"/>
          </w:tcPr>
          <w:p w14:paraId="5979D5CF" w14:textId="77777777" w:rsidR="00DD1A51" w:rsidRPr="00BC699F" w:rsidRDefault="00DD1A51" w:rsidP="00DD1A51">
            <w:pPr>
              <w:pStyle w:val="TableText"/>
              <w:rPr>
                <w:rFonts w:ascii="Verdana" w:hAnsi="Verdana" w:cs="Arial"/>
                <w:b/>
                <w:sz w:val="20"/>
                <w:szCs w:val="22"/>
              </w:rPr>
            </w:pPr>
            <w:r w:rsidRPr="00BC699F">
              <w:rPr>
                <w:rFonts w:ascii="Verdana" w:eastAsiaTheme="minorHAnsi" w:hAnsi="Verdana" w:cs="Arial"/>
                <w:b/>
                <w:bCs/>
                <w:sz w:val="20"/>
                <w:szCs w:val="22"/>
              </w:rPr>
              <w:t>Regulatory Limits – Food Standards Code</w:t>
            </w:r>
          </w:p>
        </w:tc>
        <w:tc>
          <w:tcPr>
            <w:tcW w:w="6231" w:type="dxa"/>
            <w:gridSpan w:val="2"/>
          </w:tcPr>
          <w:p w14:paraId="482CF0D3" w14:textId="77777777" w:rsidR="00BC699F" w:rsidRPr="00BC699F" w:rsidRDefault="00BC699F" w:rsidP="00BC699F">
            <w:pPr>
              <w:autoSpaceDE w:val="0"/>
              <w:autoSpaceDN w:val="0"/>
              <w:adjustRightInd w:val="0"/>
              <w:rPr>
                <w:rFonts w:ascii="Verdana" w:hAnsi="Verdana" w:cs="Arial"/>
                <w:sz w:val="20"/>
                <w:u w:val="single"/>
              </w:rPr>
            </w:pPr>
            <w:r w:rsidRPr="00BC699F">
              <w:rPr>
                <w:rFonts w:ascii="Verdana" w:hAnsi="Verdana" w:cs="Arial"/>
                <w:sz w:val="20"/>
                <w:u w:val="single"/>
              </w:rPr>
              <w:t>Food Standards Code</w:t>
            </w:r>
          </w:p>
          <w:p w14:paraId="706F5030" w14:textId="4F3FACA4" w:rsidR="00046DD2" w:rsidRDefault="00046DD2" w:rsidP="00BC699F">
            <w:pPr>
              <w:pStyle w:val="ListParagraph"/>
              <w:numPr>
                <w:ilvl w:val="0"/>
                <w:numId w:val="15"/>
              </w:numPr>
              <w:autoSpaceDE w:val="0"/>
              <w:autoSpaceDN w:val="0"/>
              <w:adjustRightInd w:val="0"/>
              <w:spacing w:after="0" w:line="240" w:lineRule="auto"/>
              <w:rPr>
                <w:rFonts w:ascii="Verdana" w:hAnsi="Verdana" w:cs="Arial"/>
                <w:sz w:val="20"/>
              </w:rPr>
            </w:pPr>
            <w:r>
              <w:rPr>
                <w:rFonts w:ascii="Verdana" w:hAnsi="Verdana" w:cs="Arial"/>
                <w:sz w:val="20"/>
              </w:rPr>
              <w:t>General labelling requirements</w:t>
            </w:r>
          </w:p>
          <w:p w14:paraId="58CEF7CD" w14:textId="6B8B09D0" w:rsidR="00046DD2" w:rsidRDefault="00046DD2" w:rsidP="00BC699F">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Standard 2.7.</w:t>
            </w:r>
            <w:r>
              <w:rPr>
                <w:rFonts w:ascii="Verdana" w:hAnsi="Verdana" w:cs="Arial"/>
                <w:sz w:val="20"/>
              </w:rPr>
              <w:t>1 Labelling of alcoholic beverages</w:t>
            </w:r>
          </w:p>
          <w:p w14:paraId="7F1FA7E3" w14:textId="608F319D" w:rsidR="00BC699F" w:rsidRPr="00D36760" w:rsidRDefault="00BC699F" w:rsidP="00BC699F">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 xml:space="preserve">Composition of beer as specified in Standard 2.7.2 </w:t>
            </w:r>
          </w:p>
          <w:p w14:paraId="7C78BC7A" w14:textId="77777777" w:rsidR="00BC699F" w:rsidRPr="00D36760" w:rsidRDefault="00BC699F" w:rsidP="00BC699F">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 xml:space="preserve">Permitted additives and level of use as specified in Schedule 1 of Standard 1.3.1 Permitted processing aids and level of use as specified in Schedule 1 of Standard 1.3.3 </w:t>
            </w:r>
          </w:p>
          <w:p w14:paraId="320C4D14" w14:textId="77777777" w:rsidR="00DD1A51" w:rsidRPr="00BC699F" w:rsidRDefault="00DD1A51" w:rsidP="00046DD2">
            <w:pPr>
              <w:pStyle w:val="ListParagraph"/>
              <w:autoSpaceDE w:val="0"/>
              <w:autoSpaceDN w:val="0"/>
              <w:adjustRightInd w:val="0"/>
              <w:spacing w:after="0" w:line="240" w:lineRule="auto"/>
              <w:ind w:left="360"/>
              <w:rPr>
                <w:rFonts w:ascii="Verdana" w:hAnsi="Verdana" w:cs="Arial"/>
                <w:sz w:val="20"/>
              </w:rPr>
            </w:pPr>
          </w:p>
        </w:tc>
      </w:tr>
    </w:tbl>
    <w:p w14:paraId="7132F6E4" w14:textId="77777777" w:rsidR="00B164D0" w:rsidRDefault="00B164D0" w:rsidP="00AD1CB3">
      <w:pPr>
        <w:spacing w:after="0"/>
        <w:rPr>
          <w:rFonts w:ascii="Verdana" w:hAnsi="Verdana"/>
          <w:lang w:eastAsia="zh-CN"/>
        </w:rPr>
        <w:sectPr w:rsidR="00B164D0" w:rsidSect="003A3C28">
          <w:headerReference w:type="default" r:id="rId8"/>
          <w:footerReference w:type="default" r:id="rId9"/>
          <w:pgSz w:w="11906" w:h="16838"/>
          <w:pgMar w:top="1440" w:right="1440" w:bottom="1440" w:left="1440" w:header="708" w:footer="708" w:gutter="0"/>
          <w:cols w:space="708"/>
          <w:docGrid w:linePitch="360"/>
        </w:sectPr>
      </w:pPr>
    </w:p>
    <w:p w14:paraId="35556591" w14:textId="06207831" w:rsidR="00AD1CB3" w:rsidRDefault="00AD1CB3" w:rsidP="00202C78">
      <w:pPr>
        <w:rPr>
          <w:rFonts w:ascii="Verdana" w:hAnsi="Verdana"/>
          <w:u w:val="single"/>
          <w:lang w:eastAsia="zh-CN"/>
        </w:rPr>
      </w:pPr>
      <w:r w:rsidRPr="00725FC1">
        <w:rPr>
          <w:rFonts w:ascii="Verdana" w:hAnsi="Verdana"/>
          <w:lang w:eastAsia="zh-CN"/>
        </w:rPr>
        <w:lastRenderedPageBreak/>
        <w:t>6.1.</w:t>
      </w:r>
      <w:r w:rsidR="00EE7F92">
        <w:rPr>
          <w:rFonts w:ascii="Verdana" w:hAnsi="Verdana"/>
          <w:lang w:eastAsia="zh-CN"/>
        </w:rPr>
        <w:t>2</w:t>
      </w:r>
      <w:r w:rsidRPr="00725FC1">
        <w:rPr>
          <w:rFonts w:ascii="Verdana" w:hAnsi="Verdana"/>
          <w:lang w:eastAsia="zh-CN"/>
        </w:rPr>
        <w:tab/>
      </w:r>
      <w:r w:rsidR="00B164D0" w:rsidRPr="00B164D0">
        <w:rPr>
          <w:rFonts w:ascii="Verdana" w:hAnsi="Verdana"/>
          <w:u w:val="single"/>
          <w:lang w:eastAsia="zh-CN"/>
        </w:rPr>
        <w:t>Identification of Hazards from Inputs</w:t>
      </w:r>
    </w:p>
    <w:tbl>
      <w:tblPr>
        <w:tblStyle w:val="TableGrid"/>
        <w:tblW w:w="14029" w:type="dxa"/>
        <w:tblLook w:val="04A0" w:firstRow="1" w:lastRow="0" w:firstColumn="1" w:lastColumn="0" w:noHBand="0" w:noVBand="1"/>
      </w:tblPr>
      <w:tblGrid>
        <w:gridCol w:w="2405"/>
        <w:gridCol w:w="4536"/>
        <w:gridCol w:w="2693"/>
        <w:gridCol w:w="2410"/>
        <w:gridCol w:w="1985"/>
      </w:tblGrid>
      <w:tr w:rsidR="00202C78" w14:paraId="53B097B7" w14:textId="77777777" w:rsidTr="004F503D">
        <w:tc>
          <w:tcPr>
            <w:tcW w:w="2405" w:type="dxa"/>
            <w:shd w:val="clear" w:color="auto" w:fill="D9D9D9" w:themeFill="background1" w:themeFillShade="D9"/>
          </w:tcPr>
          <w:p w14:paraId="0D9BB4E5" w14:textId="3738BD8A" w:rsidR="00B164D0" w:rsidRPr="005A3516" w:rsidRDefault="00B164D0" w:rsidP="00B164D0">
            <w:pPr>
              <w:rPr>
                <w:rFonts w:ascii="Verdana" w:hAnsi="Verdana"/>
                <w:b/>
                <w:bCs/>
                <w:sz w:val="20"/>
                <w:szCs w:val="20"/>
                <w:lang w:eastAsia="zh-CN"/>
              </w:rPr>
            </w:pPr>
            <w:r w:rsidRPr="005A3516">
              <w:rPr>
                <w:rFonts w:ascii="Verdana" w:hAnsi="Verdana"/>
                <w:b/>
                <w:bCs/>
                <w:sz w:val="20"/>
                <w:szCs w:val="20"/>
              </w:rPr>
              <w:t>Inputs</w:t>
            </w:r>
          </w:p>
        </w:tc>
        <w:tc>
          <w:tcPr>
            <w:tcW w:w="4536" w:type="dxa"/>
            <w:shd w:val="clear" w:color="auto" w:fill="D9D9D9" w:themeFill="background1" w:themeFillShade="D9"/>
          </w:tcPr>
          <w:p w14:paraId="29777DA6" w14:textId="13870E6E" w:rsidR="00B164D0" w:rsidRPr="005A3516" w:rsidRDefault="00B164D0" w:rsidP="00B164D0">
            <w:pPr>
              <w:rPr>
                <w:rFonts w:ascii="Verdana" w:hAnsi="Verdana"/>
                <w:b/>
                <w:bCs/>
                <w:sz w:val="20"/>
                <w:szCs w:val="20"/>
                <w:lang w:eastAsia="zh-CN"/>
              </w:rPr>
            </w:pPr>
            <w:r w:rsidRPr="005A3516">
              <w:rPr>
                <w:rFonts w:ascii="Verdana" w:hAnsi="Verdana"/>
                <w:b/>
                <w:bCs/>
                <w:sz w:val="20"/>
                <w:szCs w:val="20"/>
              </w:rPr>
              <w:t>Description/</w:t>
            </w:r>
            <w:r w:rsidR="00A94045" w:rsidRPr="005A3516">
              <w:rPr>
                <w:rFonts w:ascii="Verdana" w:hAnsi="Verdana"/>
                <w:b/>
                <w:bCs/>
                <w:sz w:val="20"/>
                <w:szCs w:val="20"/>
              </w:rPr>
              <w:t>Specification</w:t>
            </w:r>
          </w:p>
        </w:tc>
        <w:tc>
          <w:tcPr>
            <w:tcW w:w="2693" w:type="dxa"/>
            <w:shd w:val="clear" w:color="auto" w:fill="D9D9D9" w:themeFill="background1" w:themeFillShade="D9"/>
          </w:tcPr>
          <w:p w14:paraId="681C1594" w14:textId="30BF264E" w:rsidR="00B164D0" w:rsidRPr="005A3516" w:rsidRDefault="00B164D0" w:rsidP="00B164D0">
            <w:pPr>
              <w:rPr>
                <w:rFonts w:ascii="Verdana" w:hAnsi="Verdana"/>
                <w:b/>
                <w:bCs/>
                <w:sz w:val="20"/>
                <w:szCs w:val="20"/>
                <w:lang w:eastAsia="zh-CN"/>
              </w:rPr>
            </w:pPr>
            <w:r w:rsidRPr="005A3516">
              <w:rPr>
                <w:rFonts w:ascii="Verdana" w:hAnsi="Verdana"/>
                <w:b/>
                <w:bCs/>
                <w:sz w:val="20"/>
                <w:szCs w:val="20"/>
              </w:rPr>
              <w:t>Biological Hazard (B)</w:t>
            </w:r>
          </w:p>
        </w:tc>
        <w:tc>
          <w:tcPr>
            <w:tcW w:w="2410" w:type="dxa"/>
            <w:shd w:val="clear" w:color="auto" w:fill="D9D9D9" w:themeFill="background1" w:themeFillShade="D9"/>
          </w:tcPr>
          <w:p w14:paraId="01718CC2" w14:textId="302D4E70" w:rsidR="00B164D0" w:rsidRPr="005A3516" w:rsidRDefault="00B164D0" w:rsidP="00B164D0">
            <w:pPr>
              <w:rPr>
                <w:rFonts w:ascii="Verdana" w:hAnsi="Verdana"/>
                <w:b/>
                <w:bCs/>
                <w:sz w:val="20"/>
                <w:szCs w:val="20"/>
                <w:lang w:eastAsia="zh-CN"/>
              </w:rPr>
            </w:pPr>
            <w:r w:rsidRPr="005A3516">
              <w:rPr>
                <w:rFonts w:ascii="Verdana" w:hAnsi="Verdana"/>
                <w:b/>
                <w:bCs/>
                <w:sz w:val="20"/>
                <w:szCs w:val="20"/>
              </w:rPr>
              <w:t>Chemical Hazard (C)</w:t>
            </w:r>
          </w:p>
        </w:tc>
        <w:tc>
          <w:tcPr>
            <w:tcW w:w="1985" w:type="dxa"/>
            <w:shd w:val="clear" w:color="auto" w:fill="D9D9D9" w:themeFill="background1" w:themeFillShade="D9"/>
          </w:tcPr>
          <w:p w14:paraId="1874CB86" w14:textId="5526D8D5" w:rsidR="00B164D0" w:rsidRPr="005A3516" w:rsidRDefault="00B164D0" w:rsidP="00B164D0">
            <w:pPr>
              <w:rPr>
                <w:rFonts w:ascii="Verdana" w:hAnsi="Verdana"/>
                <w:b/>
                <w:bCs/>
                <w:sz w:val="20"/>
                <w:szCs w:val="20"/>
                <w:lang w:eastAsia="zh-CN"/>
              </w:rPr>
            </w:pPr>
            <w:r w:rsidRPr="005A3516">
              <w:rPr>
                <w:rFonts w:ascii="Verdana" w:hAnsi="Verdana"/>
                <w:b/>
                <w:bCs/>
                <w:sz w:val="20"/>
                <w:szCs w:val="20"/>
              </w:rPr>
              <w:t>Physical Hazard (P)</w:t>
            </w:r>
          </w:p>
        </w:tc>
      </w:tr>
      <w:tr w:rsidR="00202C78" w14:paraId="0082375D" w14:textId="77777777" w:rsidTr="00202C78">
        <w:tc>
          <w:tcPr>
            <w:tcW w:w="2405" w:type="dxa"/>
          </w:tcPr>
          <w:p w14:paraId="38B91E9F" w14:textId="12C8B824" w:rsidR="00A94045" w:rsidRPr="005A3516" w:rsidRDefault="00A94045" w:rsidP="00A94045">
            <w:pPr>
              <w:rPr>
                <w:rFonts w:ascii="Verdana" w:hAnsi="Verdana"/>
                <w:sz w:val="20"/>
                <w:szCs w:val="20"/>
                <w:lang w:eastAsia="zh-CN"/>
              </w:rPr>
            </w:pPr>
            <w:r w:rsidRPr="005A3516">
              <w:rPr>
                <w:rFonts w:ascii="Verdana" w:hAnsi="Verdana"/>
                <w:sz w:val="20"/>
                <w:szCs w:val="20"/>
              </w:rPr>
              <w:t>Clean water</w:t>
            </w:r>
          </w:p>
        </w:tc>
        <w:tc>
          <w:tcPr>
            <w:tcW w:w="4536" w:type="dxa"/>
          </w:tcPr>
          <w:p w14:paraId="30D89D1E" w14:textId="5B816AF7" w:rsidR="00A94045" w:rsidRPr="005A3516" w:rsidRDefault="00A94045" w:rsidP="00A94045">
            <w:pPr>
              <w:rPr>
                <w:rFonts w:ascii="Verdana" w:hAnsi="Verdana"/>
                <w:sz w:val="20"/>
                <w:szCs w:val="20"/>
                <w:lang w:eastAsia="zh-CN"/>
              </w:rPr>
            </w:pPr>
            <w:r w:rsidRPr="00202C78">
              <w:rPr>
                <w:rFonts w:ascii="Verdana" w:hAnsi="Verdana"/>
                <w:sz w:val="20"/>
                <w:szCs w:val="20"/>
              </w:rPr>
              <w:t xml:space="preserve">Complies with the requirements defined in the </w:t>
            </w:r>
            <w:r w:rsidR="00557A9C" w:rsidRPr="00202C78">
              <w:rPr>
                <w:rFonts w:ascii="Verdana" w:hAnsi="Verdana"/>
                <w:sz w:val="20"/>
                <w:szCs w:val="20"/>
              </w:rPr>
              <w:t>Food Notice - Requirements for Food Control Plans &amp; National Programmes</w:t>
            </w:r>
          </w:p>
        </w:tc>
        <w:tc>
          <w:tcPr>
            <w:tcW w:w="2693" w:type="dxa"/>
          </w:tcPr>
          <w:p w14:paraId="01105C32" w14:textId="59813490"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2410" w:type="dxa"/>
          </w:tcPr>
          <w:p w14:paraId="17E81643" w14:textId="4CCA70DF"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1985" w:type="dxa"/>
          </w:tcPr>
          <w:p w14:paraId="6BADAAE6" w14:textId="0D58FED2"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1208BCD2" w14:textId="77777777" w:rsidTr="00202C78">
        <w:tc>
          <w:tcPr>
            <w:tcW w:w="2405" w:type="dxa"/>
          </w:tcPr>
          <w:p w14:paraId="1E92A8E7" w14:textId="2A346FAB" w:rsidR="00A94045" w:rsidRPr="005A3516" w:rsidRDefault="00A94045" w:rsidP="00A94045">
            <w:pPr>
              <w:rPr>
                <w:rFonts w:ascii="Verdana" w:hAnsi="Verdana"/>
                <w:sz w:val="20"/>
                <w:szCs w:val="20"/>
                <w:lang w:eastAsia="zh-CN"/>
              </w:rPr>
            </w:pPr>
            <w:r w:rsidRPr="005A3516">
              <w:rPr>
                <w:rFonts w:ascii="Verdana" w:hAnsi="Verdana"/>
                <w:sz w:val="20"/>
                <w:szCs w:val="20"/>
              </w:rPr>
              <w:t>Yeast and bacteria</w:t>
            </w:r>
          </w:p>
        </w:tc>
        <w:tc>
          <w:tcPr>
            <w:tcW w:w="4536" w:type="dxa"/>
          </w:tcPr>
          <w:p w14:paraId="7B666FA5" w14:textId="38ACC17F" w:rsidR="00A94045" w:rsidRPr="005A3516" w:rsidRDefault="00A94045" w:rsidP="00A94045">
            <w:pPr>
              <w:rPr>
                <w:rFonts w:ascii="Verdana" w:hAnsi="Verdana"/>
                <w:sz w:val="20"/>
                <w:szCs w:val="20"/>
                <w:lang w:eastAsia="zh-CN"/>
              </w:rPr>
            </w:pPr>
            <w:r w:rsidRPr="005A3516">
              <w:rPr>
                <w:rFonts w:ascii="Verdana" w:hAnsi="Verdana"/>
                <w:sz w:val="20"/>
                <w:szCs w:val="20"/>
              </w:rPr>
              <w:t>Suitable for food use</w:t>
            </w:r>
          </w:p>
        </w:tc>
        <w:tc>
          <w:tcPr>
            <w:tcW w:w="2693" w:type="dxa"/>
          </w:tcPr>
          <w:p w14:paraId="23D60E75" w14:textId="5687FED3"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2410" w:type="dxa"/>
          </w:tcPr>
          <w:p w14:paraId="5E609FA4" w14:textId="3A47CEC0"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1985" w:type="dxa"/>
          </w:tcPr>
          <w:p w14:paraId="65F563F6" w14:textId="6FD37D61"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74D8B6D5" w14:textId="77777777" w:rsidTr="00202C78">
        <w:tc>
          <w:tcPr>
            <w:tcW w:w="2405" w:type="dxa"/>
          </w:tcPr>
          <w:p w14:paraId="3E050B12" w14:textId="1F7DE614" w:rsidR="00A94045" w:rsidRPr="005A3516" w:rsidRDefault="00A94045" w:rsidP="00A94045">
            <w:pPr>
              <w:rPr>
                <w:rFonts w:ascii="Verdana" w:hAnsi="Verdana"/>
                <w:sz w:val="20"/>
                <w:szCs w:val="20"/>
                <w:lang w:eastAsia="zh-CN"/>
              </w:rPr>
            </w:pPr>
            <w:r w:rsidRPr="005A3516">
              <w:rPr>
                <w:rFonts w:ascii="Verdana" w:hAnsi="Verdana"/>
                <w:sz w:val="20"/>
                <w:szCs w:val="20"/>
              </w:rPr>
              <w:t>Grain</w:t>
            </w:r>
          </w:p>
        </w:tc>
        <w:tc>
          <w:tcPr>
            <w:tcW w:w="4536" w:type="dxa"/>
          </w:tcPr>
          <w:p w14:paraId="12B03959" w14:textId="77777777" w:rsidR="00A94045" w:rsidRPr="005A3516" w:rsidRDefault="00A94045" w:rsidP="00A94045">
            <w:pPr>
              <w:rPr>
                <w:rFonts w:ascii="Verdana" w:hAnsi="Verdana"/>
                <w:sz w:val="20"/>
                <w:szCs w:val="20"/>
              </w:rPr>
            </w:pPr>
            <w:r w:rsidRPr="005A3516">
              <w:rPr>
                <w:rFonts w:ascii="Verdana" w:hAnsi="Verdana"/>
                <w:sz w:val="20"/>
                <w:szCs w:val="20"/>
              </w:rPr>
              <w:t>Suitable for food use</w:t>
            </w:r>
          </w:p>
          <w:p w14:paraId="62868F33" w14:textId="17DCCFB1" w:rsidR="00A94045" w:rsidRPr="005A3516" w:rsidRDefault="00A94045" w:rsidP="00077D6D">
            <w:pPr>
              <w:rPr>
                <w:rFonts w:ascii="Verdana" w:hAnsi="Verdana"/>
                <w:sz w:val="20"/>
                <w:szCs w:val="20"/>
                <w:lang w:eastAsia="zh-CN"/>
              </w:rPr>
            </w:pPr>
            <w:r w:rsidRPr="005A3516">
              <w:rPr>
                <w:rFonts w:ascii="Verdana" w:hAnsi="Verdana"/>
                <w:sz w:val="20"/>
                <w:szCs w:val="20"/>
              </w:rPr>
              <w:t>Sourced from a</w:t>
            </w:r>
            <w:r w:rsidR="00077D6D">
              <w:rPr>
                <w:rFonts w:ascii="Verdana" w:hAnsi="Verdana"/>
                <w:sz w:val="20"/>
                <w:szCs w:val="20"/>
              </w:rPr>
              <w:t>n approved</w:t>
            </w:r>
            <w:r w:rsidRPr="005A3516">
              <w:rPr>
                <w:rFonts w:ascii="Verdana" w:hAnsi="Verdana"/>
                <w:sz w:val="20"/>
                <w:szCs w:val="20"/>
              </w:rPr>
              <w:t xml:space="preserve"> supplier </w:t>
            </w:r>
          </w:p>
        </w:tc>
        <w:tc>
          <w:tcPr>
            <w:tcW w:w="2693" w:type="dxa"/>
          </w:tcPr>
          <w:p w14:paraId="5F307350" w14:textId="2783DCC6" w:rsidR="00A94045" w:rsidRPr="005A3516" w:rsidRDefault="00A94045" w:rsidP="00A94045">
            <w:pPr>
              <w:rPr>
                <w:rFonts w:ascii="Verdana" w:hAnsi="Verdana"/>
                <w:sz w:val="20"/>
                <w:szCs w:val="20"/>
                <w:lang w:eastAsia="zh-CN"/>
              </w:rPr>
            </w:pPr>
            <w:r w:rsidRPr="005A3516">
              <w:rPr>
                <w:rFonts w:ascii="Verdana" w:hAnsi="Verdana"/>
                <w:sz w:val="20"/>
                <w:szCs w:val="20"/>
              </w:rPr>
              <w:t>Enteric pathogens (</w:t>
            </w:r>
            <w:r w:rsidR="005A3516" w:rsidRPr="005A3516">
              <w:rPr>
                <w:rFonts w:ascii="Verdana" w:hAnsi="Verdana"/>
                <w:sz w:val="20"/>
                <w:szCs w:val="20"/>
              </w:rPr>
              <w:t>e.g.,</w:t>
            </w:r>
            <w:r w:rsidRPr="005A3516">
              <w:rPr>
                <w:rFonts w:ascii="Verdana" w:hAnsi="Verdana"/>
                <w:sz w:val="20"/>
                <w:szCs w:val="20"/>
              </w:rPr>
              <w:t xml:space="preserve"> </w:t>
            </w:r>
            <w:r w:rsidRPr="00077D6D">
              <w:rPr>
                <w:rFonts w:ascii="Verdana" w:hAnsi="Verdana"/>
                <w:i/>
                <w:iCs/>
                <w:sz w:val="20"/>
                <w:szCs w:val="20"/>
              </w:rPr>
              <w:t>Salmonella</w:t>
            </w:r>
            <w:r w:rsidRPr="005A3516">
              <w:rPr>
                <w:rFonts w:ascii="Verdana" w:hAnsi="Verdana"/>
                <w:sz w:val="20"/>
                <w:szCs w:val="20"/>
              </w:rPr>
              <w:t xml:space="preserve"> spp.)</w:t>
            </w:r>
          </w:p>
        </w:tc>
        <w:tc>
          <w:tcPr>
            <w:tcW w:w="2410" w:type="dxa"/>
          </w:tcPr>
          <w:p w14:paraId="19F49E93" w14:textId="0F952E56" w:rsidR="00A94045" w:rsidRPr="005A3516" w:rsidRDefault="00A94045" w:rsidP="00A94045">
            <w:pPr>
              <w:rPr>
                <w:rFonts w:ascii="Verdana" w:hAnsi="Verdana"/>
                <w:sz w:val="20"/>
                <w:szCs w:val="20"/>
                <w:lang w:eastAsia="zh-CN"/>
              </w:rPr>
            </w:pPr>
            <w:r w:rsidRPr="005A3516">
              <w:rPr>
                <w:rFonts w:ascii="Verdana" w:hAnsi="Verdana"/>
                <w:sz w:val="20"/>
                <w:szCs w:val="20"/>
              </w:rPr>
              <w:t>Residues of agricultural chemicals (</w:t>
            </w:r>
            <w:r w:rsidR="005A3516" w:rsidRPr="005A3516">
              <w:rPr>
                <w:rFonts w:ascii="Verdana" w:hAnsi="Verdana"/>
                <w:sz w:val="20"/>
                <w:szCs w:val="20"/>
              </w:rPr>
              <w:t>e.g.,</w:t>
            </w:r>
            <w:r w:rsidRPr="005A3516">
              <w:rPr>
                <w:rFonts w:ascii="Verdana" w:hAnsi="Verdana"/>
                <w:sz w:val="20"/>
                <w:szCs w:val="20"/>
              </w:rPr>
              <w:t xml:space="preserve"> pesticides, fungicides)</w:t>
            </w:r>
            <w:r w:rsidRPr="00A8716F">
              <w:rPr>
                <w:rFonts w:ascii="Verdana" w:hAnsi="Verdana"/>
                <w:b/>
                <w:bCs/>
                <w:sz w:val="20"/>
                <w:szCs w:val="20"/>
                <w:vertAlign w:val="superscript"/>
              </w:rPr>
              <w:t>1</w:t>
            </w:r>
          </w:p>
        </w:tc>
        <w:tc>
          <w:tcPr>
            <w:tcW w:w="1985" w:type="dxa"/>
          </w:tcPr>
          <w:p w14:paraId="60C4B175" w14:textId="13676E2B"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202C78" w14:paraId="7F15AC85" w14:textId="77777777" w:rsidTr="00202C78">
        <w:tc>
          <w:tcPr>
            <w:tcW w:w="2405" w:type="dxa"/>
          </w:tcPr>
          <w:p w14:paraId="38EB07B5" w14:textId="7CF3A362" w:rsidR="00D4106C" w:rsidRPr="005A3516" w:rsidRDefault="00D4106C" w:rsidP="00D4106C">
            <w:pPr>
              <w:rPr>
                <w:rFonts w:ascii="Verdana" w:hAnsi="Verdana"/>
                <w:sz w:val="20"/>
                <w:szCs w:val="20"/>
              </w:rPr>
            </w:pPr>
            <w:r w:rsidRPr="005A3516">
              <w:rPr>
                <w:rFonts w:ascii="Verdana" w:hAnsi="Verdana"/>
                <w:sz w:val="20"/>
                <w:szCs w:val="20"/>
              </w:rPr>
              <w:t>Additives (</w:t>
            </w:r>
            <w:r w:rsidR="00312DE3" w:rsidRPr="005A3516">
              <w:rPr>
                <w:rFonts w:ascii="Verdana" w:hAnsi="Verdana"/>
                <w:sz w:val="20"/>
                <w:szCs w:val="20"/>
              </w:rPr>
              <w:t>e.g.,</w:t>
            </w:r>
            <w:r w:rsidRPr="005A3516">
              <w:rPr>
                <w:rFonts w:ascii="Verdana" w:hAnsi="Verdana"/>
                <w:sz w:val="20"/>
                <w:szCs w:val="20"/>
              </w:rPr>
              <w:t xml:space="preserve"> preservatives, fining agents)</w:t>
            </w:r>
          </w:p>
        </w:tc>
        <w:tc>
          <w:tcPr>
            <w:tcW w:w="4536" w:type="dxa"/>
          </w:tcPr>
          <w:p w14:paraId="310F1EC7" w14:textId="77777777" w:rsidR="00D4106C" w:rsidRPr="005A3516" w:rsidRDefault="00D4106C" w:rsidP="00D4106C">
            <w:pPr>
              <w:rPr>
                <w:rFonts w:ascii="Verdana" w:hAnsi="Verdana"/>
                <w:sz w:val="20"/>
                <w:szCs w:val="20"/>
              </w:rPr>
            </w:pPr>
            <w:r w:rsidRPr="005A3516">
              <w:rPr>
                <w:rFonts w:ascii="Verdana" w:hAnsi="Verdana"/>
                <w:sz w:val="20"/>
                <w:szCs w:val="20"/>
              </w:rPr>
              <w:t>Food grade.</w:t>
            </w:r>
          </w:p>
          <w:p w14:paraId="2B938E2F" w14:textId="55956D29" w:rsidR="00D4106C" w:rsidRPr="005A3516" w:rsidRDefault="00D4106C" w:rsidP="00D4106C">
            <w:pPr>
              <w:rPr>
                <w:rFonts w:ascii="Verdana" w:hAnsi="Verdana"/>
                <w:sz w:val="20"/>
                <w:szCs w:val="20"/>
              </w:rPr>
            </w:pPr>
            <w:r w:rsidRPr="005A3516">
              <w:rPr>
                <w:rFonts w:ascii="Verdana" w:hAnsi="Verdana"/>
                <w:sz w:val="20"/>
                <w:szCs w:val="20"/>
              </w:rPr>
              <w:t>Permitted for use in beer and used within limits specified in standard 1.3.1 of the Food Standards Code.</w:t>
            </w:r>
          </w:p>
        </w:tc>
        <w:tc>
          <w:tcPr>
            <w:tcW w:w="2693" w:type="dxa"/>
          </w:tcPr>
          <w:p w14:paraId="56C27C56" w14:textId="3924333F" w:rsidR="00D4106C" w:rsidRPr="005A3516" w:rsidRDefault="00D4106C" w:rsidP="00D4106C">
            <w:pPr>
              <w:rPr>
                <w:rFonts w:ascii="Verdana" w:hAnsi="Verdana"/>
                <w:sz w:val="20"/>
                <w:szCs w:val="20"/>
                <w:lang w:eastAsia="zh-CN"/>
              </w:rPr>
            </w:pPr>
            <w:r w:rsidRPr="005A3516">
              <w:rPr>
                <w:rFonts w:ascii="Verdana" w:hAnsi="Verdana"/>
                <w:sz w:val="20"/>
                <w:szCs w:val="20"/>
              </w:rPr>
              <w:t>None</w:t>
            </w:r>
          </w:p>
        </w:tc>
        <w:tc>
          <w:tcPr>
            <w:tcW w:w="2410" w:type="dxa"/>
          </w:tcPr>
          <w:p w14:paraId="471C29BB" w14:textId="783BFDEB" w:rsidR="00D4106C" w:rsidRPr="005A3516" w:rsidRDefault="00D4106C" w:rsidP="00D4106C">
            <w:pPr>
              <w:rPr>
                <w:rFonts w:ascii="Verdana" w:hAnsi="Verdana"/>
                <w:sz w:val="20"/>
                <w:szCs w:val="20"/>
              </w:rPr>
            </w:pPr>
            <w:r w:rsidRPr="005A3516">
              <w:rPr>
                <w:rFonts w:ascii="Verdana" w:hAnsi="Verdana"/>
                <w:sz w:val="20"/>
                <w:szCs w:val="20"/>
              </w:rPr>
              <w:t>Sulphite</w:t>
            </w:r>
            <w:r w:rsidRPr="00A8716F">
              <w:rPr>
                <w:rFonts w:ascii="Verdana" w:hAnsi="Verdana"/>
                <w:b/>
                <w:bCs/>
                <w:sz w:val="20"/>
                <w:szCs w:val="20"/>
                <w:vertAlign w:val="superscript"/>
              </w:rPr>
              <w:t>2</w:t>
            </w:r>
          </w:p>
          <w:p w14:paraId="7CCA4AA1" w14:textId="1358B19A" w:rsidR="00D4106C" w:rsidRPr="005A3516" w:rsidRDefault="005A3516" w:rsidP="00D4106C">
            <w:pPr>
              <w:rPr>
                <w:rFonts w:ascii="Verdana" w:hAnsi="Verdana"/>
                <w:sz w:val="20"/>
                <w:szCs w:val="20"/>
                <w:lang w:eastAsia="zh-CN"/>
              </w:rPr>
            </w:pPr>
            <w:proofErr w:type="gramStart"/>
            <w:r w:rsidRPr="00FE644F">
              <w:rPr>
                <w:rFonts w:ascii="Verdana" w:hAnsi="Verdana"/>
                <w:sz w:val="20"/>
                <w:szCs w:val="20"/>
              </w:rPr>
              <w:t>Allergen’s</w:t>
            </w:r>
            <w:proofErr w:type="gramEnd"/>
            <w:r w:rsidR="00D4106C" w:rsidRPr="00FE644F">
              <w:rPr>
                <w:rFonts w:ascii="Verdana" w:hAnsi="Verdana"/>
                <w:sz w:val="20"/>
                <w:szCs w:val="20"/>
              </w:rPr>
              <w:t xml:space="preserve"> fr</w:t>
            </w:r>
            <w:r w:rsidR="000F4009" w:rsidRPr="00FE644F">
              <w:rPr>
                <w:rFonts w:ascii="Verdana" w:hAnsi="Verdana"/>
                <w:sz w:val="20"/>
                <w:szCs w:val="20"/>
              </w:rPr>
              <w:t>o</w:t>
            </w:r>
            <w:r w:rsidR="00D4106C" w:rsidRPr="00FE644F">
              <w:rPr>
                <w:rFonts w:ascii="Verdana" w:hAnsi="Verdana"/>
                <w:sz w:val="20"/>
                <w:szCs w:val="20"/>
              </w:rPr>
              <w:t xml:space="preserve">m fining agents with animal protein </w:t>
            </w:r>
            <w:r w:rsidRPr="00FE644F">
              <w:rPr>
                <w:rFonts w:ascii="Verdana" w:hAnsi="Verdana"/>
                <w:sz w:val="20"/>
                <w:szCs w:val="20"/>
              </w:rPr>
              <w:t>derivatives</w:t>
            </w:r>
            <w:r w:rsidR="00D4106C" w:rsidRPr="00FE644F">
              <w:rPr>
                <w:rFonts w:ascii="Verdana" w:hAnsi="Verdana"/>
                <w:b/>
                <w:bCs/>
                <w:sz w:val="20"/>
                <w:szCs w:val="20"/>
                <w:vertAlign w:val="superscript"/>
              </w:rPr>
              <w:t>3</w:t>
            </w:r>
          </w:p>
        </w:tc>
        <w:tc>
          <w:tcPr>
            <w:tcW w:w="1985" w:type="dxa"/>
          </w:tcPr>
          <w:p w14:paraId="7E28D238" w14:textId="68509F67" w:rsidR="00D4106C" w:rsidRPr="005A3516" w:rsidRDefault="00D4106C" w:rsidP="00D4106C">
            <w:pPr>
              <w:rPr>
                <w:rFonts w:ascii="Verdana" w:hAnsi="Verdana"/>
                <w:sz w:val="20"/>
                <w:szCs w:val="20"/>
                <w:lang w:eastAsia="zh-CN"/>
              </w:rPr>
            </w:pPr>
            <w:r w:rsidRPr="005A3516">
              <w:rPr>
                <w:rFonts w:ascii="Verdana" w:hAnsi="Verdana"/>
                <w:sz w:val="20"/>
                <w:szCs w:val="20"/>
              </w:rPr>
              <w:t>None</w:t>
            </w:r>
          </w:p>
        </w:tc>
      </w:tr>
      <w:tr w:rsidR="00202C78" w14:paraId="6E91E81A" w14:textId="77777777" w:rsidTr="00202C78">
        <w:tc>
          <w:tcPr>
            <w:tcW w:w="2405" w:type="dxa"/>
          </w:tcPr>
          <w:p w14:paraId="7D886605" w14:textId="15FE7EEA" w:rsidR="00804453" w:rsidRPr="005A3516" w:rsidRDefault="00804453" w:rsidP="00804453">
            <w:pPr>
              <w:rPr>
                <w:rFonts w:ascii="Verdana" w:hAnsi="Verdana"/>
                <w:sz w:val="20"/>
                <w:szCs w:val="20"/>
                <w:lang w:eastAsia="zh-CN"/>
              </w:rPr>
            </w:pPr>
            <w:r w:rsidRPr="005A3516">
              <w:rPr>
                <w:rFonts w:ascii="Verdana" w:hAnsi="Verdana"/>
                <w:sz w:val="20"/>
                <w:szCs w:val="20"/>
              </w:rPr>
              <w:t>Processing aids (</w:t>
            </w:r>
            <w:r w:rsidR="00736A08" w:rsidRPr="005A3516">
              <w:rPr>
                <w:rFonts w:ascii="Verdana" w:hAnsi="Verdana"/>
                <w:sz w:val="20"/>
                <w:szCs w:val="20"/>
              </w:rPr>
              <w:t>e.g.,</w:t>
            </w:r>
            <w:r w:rsidRPr="005A3516">
              <w:rPr>
                <w:rFonts w:ascii="Verdana" w:hAnsi="Verdana"/>
                <w:sz w:val="20"/>
                <w:szCs w:val="20"/>
              </w:rPr>
              <w:t xml:space="preserve"> enzymes, gases)</w:t>
            </w:r>
          </w:p>
        </w:tc>
        <w:tc>
          <w:tcPr>
            <w:tcW w:w="4536" w:type="dxa"/>
          </w:tcPr>
          <w:p w14:paraId="74BEC9D2" w14:textId="2B4448FE" w:rsidR="00804453" w:rsidRPr="005A3516" w:rsidRDefault="00804453" w:rsidP="00804453">
            <w:pPr>
              <w:rPr>
                <w:rFonts w:ascii="Verdana" w:hAnsi="Verdana"/>
                <w:sz w:val="20"/>
                <w:szCs w:val="20"/>
                <w:lang w:eastAsia="zh-CN"/>
              </w:rPr>
            </w:pPr>
            <w:r w:rsidRPr="005A3516">
              <w:rPr>
                <w:rFonts w:ascii="Verdana" w:hAnsi="Verdana"/>
                <w:sz w:val="20"/>
                <w:szCs w:val="20"/>
              </w:rPr>
              <w:t>Permitted for food use as specified in Standard 1.3.3 of the Food Standards Code.</w:t>
            </w:r>
          </w:p>
        </w:tc>
        <w:tc>
          <w:tcPr>
            <w:tcW w:w="2693" w:type="dxa"/>
          </w:tcPr>
          <w:p w14:paraId="56516ECE" w14:textId="5B42498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2410" w:type="dxa"/>
          </w:tcPr>
          <w:p w14:paraId="00873855" w14:textId="190C62EB"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0D14B5DF" w14:textId="0B3B89C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7600700F" w14:textId="77777777" w:rsidTr="00202C78">
        <w:tc>
          <w:tcPr>
            <w:tcW w:w="2405" w:type="dxa"/>
          </w:tcPr>
          <w:p w14:paraId="6E822135" w14:textId="46FC62C0" w:rsidR="00804453" w:rsidRPr="005A3516" w:rsidRDefault="00804453" w:rsidP="00804453">
            <w:pPr>
              <w:rPr>
                <w:rFonts w:ascii="Verdana" w:hAnsi="Verdana"/>
                <w:sz w:val="20"/>
                <w:szCs w:val="20"/>
                <w:lang w:eastAsia="zh-CN"/>
              </w:rPr>
            </w:pPr>
            <w:r w:rsidRPr="005A3516">
              <w:rPr>
                <w:rFonts w:ascii="Verdana" w:hAnsi="Verdana"/>
                <w:sz w:val="20"/>
                <w:szCs w:val="20"/>
              </w:rPr>
              <w:t>Spices</w:t>
            </w:r>
          </w:p>
        </w:tc>
        <w:tc>
          <w:tcPr>
            <w:tcW w:w="4536" w:type="dxa"/>
          </w:tcPr>
          <w:p w14:paraId="1140E086" w14:textId="5B6532C5"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00F2284F" w14:textId="1749E2B9"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pathogens (</w:t>
            </w:r>
            <w:r w:rsidR="005A3516" w:rsidRPr="005A3516">
              <w:rPr>
                <w:rFonts w:ascii="Verdana" w:hAnsi="Verdana"/>
                <w:sz w:val="20"/>
                <w:szCs w:val="20"/>
              </w:rPr>
              <w:t>e.g.,</w:t>
            </w:r>
            <w:r w:rsidRPr="005A3516">
              <w:rPr>
                <w:rFonts w:ascii="Verdana" w:hAnsi="Verdana"/>
                <w:sz w:val="20"/>
                <w:szCs w:val="20"/>
              </w:rPr>
              <w:t xml:space="preserve"> </w:t>
            </w:r>
            <w:r w:rsidRPr="005A3516">
              <w:rPr>
                <w:rFonts w:ascii="Verdana" w:hAnsi="Verdana"/>
                <w:i/>
                <w:iCs/>
                <w:sz w:val="20"/>
                <w:szCs w:val="20"/>
              </w:rPr>
              <w:t>Salmonella</w:t>
            </w:r>
            <w:r w:rsidRPr="005A3516">
              <w:rPr>
                <w:rFonts w:ascii="Verdana" w:hAnsi="Verdana"/>
                <w:sz w:val="20"/>
                <w:szCs w:val="20"/>
              </w:rPr>
              <w:t xml:space="preserve"> spp., </w:t>
            </w:r>
            <w:r w:rsidR="005A3516" w:rsidRPr="005A3516">
              <w:rPr>
                <w:rFonts w:ascii="Verdana" w:hAnsi="Verdana"/>
                <w:i/>
                <w:iCs/>
                <w:sz w:val="20"/>
                <w:szCs w:val="20"/>
              </w:rPr>
              <w:t>Bacillus</w:t>
            </w:r>
            <w:r w:rsidRPr="005A3516">
              <w:rPr>
                <w:rFonts w:ascii="Verdana" w:hAnsi="Verdana"/>
                <w:sz w:val="20"/>
                <w:szCs w:val="20"/>
              </w:rPr>
              <w:t xml:space="preserve"> spp., </w:t>
            </w:r>
            <w:r w:rsidRPr="005A3516">
              <w:rPr>
                <w:rFonts w:ascii="Verdana" w:hAnsi="Verdana"/>
                <w:i/>
                <w:iCs/>
                <w:sz w:val="20"/>
                <w:szCs w:val="20"/>
              </w:rPr>
              <w:t>Clostridium</w:t>
            </w:r>
            <w:r w:rsidRPr="005A3516">
              <w:rPr>
                <w:rFonts w:ascii="Verdana" w:hAnsi="Verdana"/>
                <w:sz w:val="20"/>
                <w:szCs w:val="20"/>
              </w:rPr>
              <w:t xml:space="preserve"> spp.)</w:t>
            </w:r>
          </w:p>
        </w:tc>
        <w:tc>
          <w:tcPr>
            <w:tcW w:w="2410" w:type="dxa"/>
          </w:tcPr>
          <w:p w14:paraId="404D1ECD" w14:textId="61B25D0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650117F1" w14:textId="12A8093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33BE3245" w14:textId="77777777" w:rsidTr="00202C78">
        <w:tc>
          <w:tcPr>
            <w:tcW w:w="2405" w:type="dxa"/>
          </w:tcPr>
          <w:p w14:paraId="09D7F041" w14:textId="6FAF5513" w:rsidR="00804453" w:rsidRPr="005A3516" w:rsidRDefault="00804453" w:rsidP="00804453">
            <w:pPr>
              <w:rPr>
                <w:rFonts w:ascii="Verdana" w:hAnsi="Verdana"/>
                <w:sz w:val="20"/>
                <w:szCs w:val="20"/>
                <w:lang w:eastAsia="zh-CN"/>
              </w:rPr>
            </w:pPr>
            <w:r w:rsidRPr="005A3516">
              <w:rPr>
                <w:rFonts w:ascii="Verdana" w:hAnsi="Verdana"/>
                <w:sz w:val="20"/>
                <w:szCs w:val="20"/>
              </w:rPr>
              <w:t xml:space="preserve">Fermentable adjuncts </w:t>
            </w:r>
            <w:r w:rsidR="00312DE3" w:rsidRPr="005A3516">
              <w:rPr>
                <w:rFonts w:ascii="Verdana" w:hAnsi="Verdana"/>
                <w:sz w:val="20"/>
                <w:szCs w:val="20"/>
              </w:rPr>
              <w:t>e.g.,</w:t>
            </w:r>
            <w:r w:rsidRPr="005A3516">
              <w:rPr>
                <w:rFonts w:ascii="Verdana" w:hAnsi="Verdana"/>
                <w:sz w:val="20"/>
                <w:szCs w:val="20"/>
              </w:rPr>
              <w:t xml:space="preserve"> sugar, honey</w:t>
            </w:r>
          </w:p>
        </w:tc>
        <w:tc>
          <w:tcPr>
            <w:tcW w:w="4536" w:type="dxa"/>
          </w:tcPr>
          <w:p w14:paraId="3C28AA61" w14:textId="0BB8A18E"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7F1D30FD" w14:textId="1CE0ADD7"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pathogens (</w:t>
            </w:r>
            <w:r w:rsidR="005A3516" w:rsidRPr="005A3516">
              <w:rPr>
                <w:rFonts w:ascii="Verdana" w:hAnsi="Verdana"/>
                <w:sz w:val="20"/>
                <w:szCs w:val="20"/>
              </w:rPr>
              <w:t>e.g.,</w:t>
            </w:r>
            <w:r w:rsidRPr="005A3516">
              <w:rPr>
                <w:rFonts w:ascii="Verdana" w:hAnsi="Verdana"/>
                <w:sz w:val="20"/>
                <w:szCs w:val="20"/>
              </w:rPr>
              <w:t xml:space="preserve"> </w:t>
            </w:r>
            <w:r w:rsidRPr="005A3516">
              <w:rPr>
                <w:rFonts w:ascii="Verdana" w:hAnsi="Verdana"/>
                <w:i/>
                <w:iCs/>
                <w:sz w:val="20"/>
                <w:szCs w:val="20"/>
              </w:rPr>
              <w:t>Clostridium</w:t>
            </w:r>
            <w:r w:rsidRPr="005A3516">
              <w:rPr>
                <w:rFonts w:ascii="Verdana" w:hAnsi="Verdana"/>
                <w:sz w:val="20"/>
                <w:szCs w:val="20"/>
              </w:rPr>
              <w:t xml:space="preserve"> spp.)</w:t>
            </w:r>
          </w:p>
        </w:tc>
        <w:tc>
          <w:tcPr>
            <w:tcW w:w="2410" w:type="dxa"/>
          </w:tcPr>
          <w:p w14:paraId="3F540659" w14:textId="07E08DBA"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1DED4D61" w14:textId="4CA9DBA1"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723F1ED3" w14:textId="77777777" w:rsidTr="00202C78">
        <w:tc>
          <w:tcPr>
            <w:tcW w:w="2405" w:type="dxa"/>
          </w:tcPr>
          <w:p w14:paraId="74407FB4" w14:textId="3265605E" w:rsidR="00804453" w:rsidRPr="004C54D3" w:rsidRDefault="00804453" w:rsidP="00804453">
            <w:pPr>
              <w:rPr>
                <w:rFonts w:ascii="Verdana" w:hAnsi="Verdana"/>
                <w:sz w:val="20"/>
                <w:szCs w:val="20"/>
                <w:lang w:eastAsia="zh-CN"/>
              </w:rPr>
            </w:pPr>
            <w:r w:rsidRPr="004C54D3">
              <w:rPr>
                <w:rFonts w:ascii="Verdana" w:hAnsi="Verdana"/>
                <w:sz w:val="20"/>
                <w:szCs w:val="20"/>
              </w:rPr>
              <w:t>Flavour</w:t>
            </w:r>
            <w:r w:rsidR="004C54D3" w:rsidRPr="004C54D3">
              <w:rPr>
                <w:rFonts w:ascii="Verdana" w:hAnsi="Verdana"/>
                <w:sz w:val="20"/>
                <w:szCs w:val="20"/>
              </w:rPr>
              <w:t>ing</w:t>
            </w:r>
            <w:r w:rsidR="005A3516" w:rsidRPr="004C54D3">
              <w:rPr>
                <w:rFonts w:ascii="Verdana" w:hAnsi="Verdana"/>
                <w:sz w:val="20"/>
                <w:szCs w:val="20"/>
              </w:rPr>
              <w:t>s</w:t>
            </w:r>
          </w:p>
        </w:tc>
        <w:tc>
          <w:tcPr>
            <w:tcW w:w="4536" w:type="dxa"/>
          </w:tcPr>
          <w:p w14:paraId="69701E2A" w14:textId="0D55E354" w:rsidR="00804453" w:rsidRPr="004C54D3" w:rsidRDefault="00804453" w:rsidP="00804453">
            <w:pPr>
              <w:rPr>
                <w:rFonts w:ascii="Verdana" w:hAnsi="Verdana"/>
                <w:sz w:val="20"/>
                <w:szCs w:val="20"/>
                <w:lang w:eastAsia="zh-CN"/>
              </w:rPr>
            </w:pPr>
            <w:r w:rsidRPr="004C54D3">
              <w:rPr>
                <w:rFonts w:ascii="Verdana" w:hAnsi="Verdana"/>
                <w:sz w:val="20"/>
                <w:szCs w:val="20"/>
              </w:rPr>
              <w:t>Food grade</w:t>
            </w:r>
          </w:p>
        </w:tc>
        <w:tc>
          <w:tcPr>
            <w:tcW w:w="2693" w:type="dxa"/>
          </w:tcPr>
          <w:p w14:paraId="0D42222E" w14:textId="2B5B9F22"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c>
          <w:tcPr>
            <w:tcW w:w="2410" w:type="dxa"/>
          </w:tcPr>
          <w:p w14:paraId="103205C6" w14:textId="74F4A78D"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c>
          <w:tcPr>
            <w:tcW w:w="1985" w:type="dxa"/>
          </w:tcPr>
          <w:p w14:paraId="3D25E7EC" w14:textId="68CCC202"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r>
      <w:tr w:rsidR="00202C78" w14:paraId="1C6A43AA" w14:textId="77777777" w:rsidTr="00202C78">
        <w:tc>
          <w:tcPr>
            <w:tcW w:w="2405" w:type="dxa"/>
          </w:tcPr>
          <w:p w14:paraId="7A8E798A" w14:textId="4A9E6245" w:rsidR="00804453" w:rsidRPr="005A3516" w:rsidRDefault="00804453" w:rsidP="00804453">
            <w:pPr>
              <w:rPr>
                <w:rFonts w:ascii="Verdana" w:hAnsi="Verdana"/>
                <w:sz w:val="20"/>
                <w:szCs w:val="20"/>
                <w:lang w:eastAsia="zh-CN"/>
              </w:rPr>
            </w:pPr>
            <w:r w:rsidRPr="005A3516">
              <w:rPr>
                <w:rFonts w:ascii="Verdana" w:hAnsi="Verdana"/>
                <w:sz w:val="20"/>
                <w:szCs w:val="20"/>
              </w:rPr>
              <w:t>Gas</w:t>
            </w:r>
          </w:p>
        </w:tc>
        <w:tc>
          <w:tcPr>
            <w:tcW w:w="4536" w:type="dxa"/>
          </w:tcPr>
          <w:p w14:paraId="46D98AC2" w14:textId="6850F362" w:rsidR="00804453" w:rsidRPr="005A3516" w:rsidRDefault="00804453" w:rsidP="00804453">
            <w:pPr>
              <w:rPr>
                <w:rFonts w:ascii="Verdana" w:hAnsi="Verdana"/>
                <w:sz w:val="20"/>
                <w:szCs w:val="20"/>
                <w:lang w:eastAsia="zh-CN"/>
              </w:rPr>
            </w:pPr>
            <w:r w:rsidRPr="005A3516">
              <w:rPr>
                <w:rFonts w:ascii="Verdana" w:hAnsi="Verdana"/>
                <w:sz w:val="20"/>
                <w:szCs w:val="20"/>
              </w:rPr>
              <w:t>Food grade</w:t>
            </w:r>
            <w:r w:rsidR="00A52F54">
              <w:rPr>
                <w:rFonts w:ascii="Verdana" w:hAnsi="Verdana"/>
                <w:sz w:val="20"/>
                <w:szCs w:val="20"/>
              </w:rPr>
              <w:t xml:space="preserve"> (may be generated on-site)</w:t>
            </w:r>
          </w:p>
        </w:tc>
        <w:tc>
          <w:tcPr>
            <w:tcW w:w="2693" w:type="dxa"/>
          </w:tcPr>
          <w:p w14:paraId="22AD1669" w14:textId="123BB540"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2410" w:type="dxa"/>
          </w:tcPr>
          <w:p w14:paraId="259FDFCA" w14:textId="17A508A8"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65417D21" w14:textId="3149D58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65AA4CBE" w14:textId="77777777" w:rsidTr="00202C78">
        <w:tc>
          <w:tcPr>
            <w:tcW w:w="2405" w:type="dxa"/>
          </w:tcPr>
          <w:p w14:paraId="33B2A115" w14:textId="0DF4556D" w:rsidR="00804453" w:rsidRPr="005A3516" w:rsidRDefault="00804453" w:rsidP="00804453">
            <w:pPr>
              <w:rPr>
                <w:rFonts w:ascii="Verdana" w:hAnsi="Verdana"/>
                <w:sz w:val="20"/>
                <w:szCs w:val="20"/>
                <w:lang w:eastAsia="zh-CN"/>
              </w:rPr>
            </w:pPr>
            <w:r w:rsidRPr="005A3516">
              <w:rPr>
                <w:rFonts w:ascii="Verdana" w:hAnsi="Verdana"/>
                <w:sz w:val="20"/>
                <w:szCs w:val="20"/>
              </w:rPr>
              <w:t>New bottles, cans</w:t>
            </w:r>
            <w:r w:rsidR="005A3516" w:rsidRPr="005A3516">
              <w:rPr>
                <w:rFonts w:ascii="Verdana" w:hAnsi="Verdana"/>
                <w:sz w:val="20"/>
                <w:szCs w:val="20"/>
              </w:rPr>
              <w:t>, closures</w:t>
            </w:r>
            <w:r w:rsidR="00BC17D8">
              <w:rPr>
                <w:rFonts w:ascii="Verdana" w:hAnsi="Verdana"/>
                <w:sz w:val="20"/>
                <w:szCs w:val="20"/>
              </w:rPr>
              <w:t>, barrels</w:t>
            </w:r>
          </w:p>
        </w:tc>
        <w:tc>
          <w:tcPr>
            <w:tcW w:w="4536" w:type="dxa"/>
          </w:tcPr>
          <w:p w14:paraId="66DA71AD" w14:textId="7044B8B4"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6547EBE3" w14:textId="78921E64"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2410" w:type="dxa"/>
          </w:tcPr>
          <w:p w14:paraId="4FA8C2BD" w14:textId="18A4EDE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13314ED7" w14:textId="0A483980"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0FEF0902" w14:textId="77777777" w:rsidTr="00202C78">
        <w:tc>
          <w:tcPr>
            <w:tcW w:w="2405" w:type="dxa"/>
          </w:tcPr>
          <w:p w14:paraId="514F0F88" w14:textId="58B470F1" w:rsidR="00804453" w:rsidRPr="005A3516" w:rsidRDefault="00804453" w:rsidP="00804453">
            <w:pPr>
              <w:rPr>
                <w:rFonts w:ascii="Verdana" w:hAnsi="Verdana"/>
                <w:sz w:val="20"/>
                <w:szCs w:val="20"/>
                <w:lang w:eastAsia="zh-CN"/>
              </w:rPr>
            </w:pPr>
            <w:r w:rsidRPr="005A3516">
              <w:rPr>
                <w:rFonts w:ascii="Verdana" w:hAnsi="Verdana"/>
                <w:sz w:val="20"/>
                <w:szCs w:val="20"/>
              </w:rPr>
              <w:t>Used (reuse) bottles, kegs</w:t>
            </w:r>
            <w:r w:rsidR="00BC17D8">
              <w:rPr>
                <w:rFonts w:ascii="Verdana" w:hAnsi="Verdana"/>
                <w:sz w:val="20"/>
                <w:szCs w:val="20"/>
              </w:rPr>
              <w:t>, wine barrels</w:t>
            </w:r>
          </w:p>
        </w:tc>
        <w:tc>
          <w:tcPr>
            <w:tcW w:w="4536" w:type="dxa"/>
          </w:tcPr>
          <w:p w14:paraId="6113AD92" w14:textId="3453143B" w:rsidR="00804453" w:rsidRPr="005A3516" w:rsidRDefault="00804453" w:rsidP="00804453">
            <w:pPr>
              <w:rPr>
                <w:rFonts w:ascii="Verdana" w:hAnsi="Verdana"/>
                <w:sz w:val="20"/>
                <w:szCs w:val="20"/>
                <w:lang w:eastAsia="zh-CN"/>
              </w:rPr>
            </w:pPr>
            <w:r w:rsidRPr="005A3516">
              <w:rPr>
                <w:rFonts w:ascii="Verdana" w:hAnsi="Verdana"/>
                <w:sz w:val="20"/>
                <w:szCs w:val="20"/>
              </w:rPr>
              <w:t>Sanitised</w:t>
            </w:r>
          </w:p>
        </w:tc>
        <w:tc>
          <w:tcPr>
            <w:tcW w:w="2693" w:type="dxa"/>
          </w:tcPr>
          <w:p w14:paraId="4AF699B9" w14:textId="0179AD64"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w:t>
            </w:r>
          </w:p>
        </w:tc>
        <w:tc>
          <w:tcPr>
            <w:tcW w:w="2410" w:type="dxa"/>
          </w:tcPr>
          <w:p w14:paraId="756304A0" w14:textId="48B1B689" w:rsidR="00804453" w:rsidRPr="005A3516" w:rsidRDefault="00804453" w:rsidP="00804453">
            <w:pPr>
              <w:rPr>
                <w:rFonts w:ascii="Verdana" w:hAnsi="Verdana"/>
                <w:sz w:val="20"/>
                <w:szCs w:val="20"/>
                <w:lang w:eastAsia="zh-CN"/>
              </w:rPr>
            </w:pPr>
            <w:r w:rsidRPr="005A3516">
              <w:rPr>
                <w:rFonts w:ascii="Verdana" w:hAnsi="Verdana"/>
                <w:sz w:val="20"/>
                <w:szCs w:val="20"/>
              </w:rPr>
              <w:t xml:space="preserve">Chemical </w:t>
            </w:r>
            <w:r w:rsidR="005A3516">
              <w:rPr>
                <w:rFonts w:ascii="Verdana" w:hAnsi="Verdana"/>
                <w:sz w:val="20"/>
                <w:szCs w:val="20"/>
              </w:rPr>
              <w:t xml:space="preserve">or non-food suitable </w:t>
            </w:r>
            <w:r w:rsidRPr="005A3516">
              <w:rPr>
                <w:rFonts w:ascii="Verdana" w:hAnsi="Verdana"/>
                <w:sz w:val="20"/>
                <w:szCs w:val="20"/>
              </w:rPr>
              <w:t xml:space="preserve">residues </w:t>
            </w:r>
          </w:p>
        </w:tc>
        <w:tc>
          <w:tcPr>
            <w:tcW w:w="1985" w:type="dxa"/>
          </w:tcPr>
          <w:p w14:paraId="71742652" w14:textId="34F2B624" w:rsidR="00804453" w:rsidRPr="005A3516" w:rsidRDefault="00804453" w:rsidP="00804453">
            <w:pPr>
              <w:rPr>
                <w:rFonts w:ascii="Verdana" w:hAnsi="Verdana"/>
                <w:sz w:val="20"/>
                <w:szCs w:val="20"/>
                <w:lang w:eastAsia="zh-CN"/>
              </w:rPr>
            </w:pPr>
            <w:r w:rsidRPr="005A3516">
              <w:rPr>
                <w:rFonts w:ascii="Verdana" w:hAnsi="Verdana"/>
                <w:sz w:val="20"/>
                <w:szCs w:val="20"/>
              </w:rPr>
              <w:t>Foreign matter (</w:t>
            </w:r>
            <w:r w:rsidR="005A3516" w:rsidRPr="005A3516">
              <w:rPr>
                <w:rFonts w:ascii="Verdana" w:hAnsi="Verdana"/>
                <w:sz w:val="20"/>
                <w:szCs w:val="20"/>
              </w:rPr>
              <w:t>e.g.,</w:t>
            </w:r>
            <w:r w:rsidRPr="005A3516">
              <w:rPr>
                <w:rFonts w:ascii="Verdana" w:hAnsi="Verdana"/>
                <w:sz w:val="20"/>
                <w:szCs w:val="20"/>
              </w:rPr>
              <w:t xml:space="preserve"> </w:t>
            </w:r>
            <w:r w:rsidR="005A3516">
              <w:rPr>
                <w:rFonts w:ascii="Verdana" w:hAnsi="Verdana"/>
                <w:sz w:val="20"/>
                <w:szCs w:val="20"/>
              </w:rPr>
              <w:t>m</w:t>
            </w:r>
            <w:r w:rsidRPr="005A3516">
              <w:rPr>
                <w:rFonts w:ascii="Verdana" w:hAnsi="Verdana"/>
                <w:sz w:val="20"/>
                <w:szCs w:val="20"/>
              </w:rPr>
              <w:t>etal)</w:t>
            </w:r>
          </w:p>
        </w:tc>
      </w:tr>
    </w:tbl>
    <w:p w14:paraId="13FF1B94" w14:textId="1154ED0F" w:rsidR="005A3516" w:rsidRPr="005A3516" w:rsidRDefault="00734083" w:rsidP="005A3516">
      <w:pPr>
        <w:pStyle w:val="ListParagraph"/>
        <w:numPr>
          <w:ilvl w:val="0"/>
          <w:numId w:val="17"/>
        </w:numPr>
        <w:rPr>
          <w:rFonts w:ascii="Verdana" w:hAnsi="Verdana"/>
          <w:sz w:val="20"/>
          <w:szCs w:val="20"/>
          <w:lang w:eastAsia="zh-CN"/>
        </w:rPr>
      </w:pPr>
      <w:r>
        <w:rPr>
          <w:rFonts w:ascii="Verdana" w:hAnsi="Verdana"/>
          <w:sz w:val="20"/>
          <w:szCs w:val="20"/>
          <w:lang w:eastAsia="zh-CN"/>
        </w:rPr>
        <w:t>Grains</w:t>
      </w:r>
      <w:r w:rsidR="005A3516" w:rsidRPr="005A3516">
        <w:rPr>
          <w:rFonts w:ascii="Verdana" w:hAnsi="Verdana"/>
          <w:sz w:val="20"/>
          <w:szCs w:val="20"/>
          <w:lang w:eastAsia="zh-CN"/>
        </w:rPr>
        <w:t xml:space="preserve"> may contain residues of agricultural chemicals, but </w:t>
      </w:r>
      <w:r>
        <w:rPr>
          <w:rFonts w:ascii="Verdana" w:hAnsi="Verdana"/>
          <w:sz w:val="20"/>
          <w:szCs w:val="20"/>
          <w:lang w:eastAsia="zh-CN"/>
        </w:rPr>
        <w:t xml:space="preserve">grain </w:t>
      </w:r>
      <w:r w:rsidR="005A3516" w:rsidRPr="005A3516">
        <w:rPr>
          <w:rFonts w:ascii="Verdana" w:hAnsi="Verdana"/>
          <w:sz w:val="20"/>
          <w:szCs w:val="20"/>
          <w:lang w:eastAsia="zh-CN"/>
        </w:rPr>
        <w:t xml:space="preserve">that </w:t>
      </w:r>
      <w:r>
        <w:rPr>
          <w:rFonts w:ascii="Verdana" w:hAnsi="Verdana"/>
          <w:sz w:val="20"/>
          <w:szCs w:val="20"/>
          <w:lang w:eastAsia="zh-CN"/>
        </w:rPr>
        <w:t>is</w:t>
      </w:r>
      <w:r w:rsidR="005A3516" w:rsidRPr="005A3516">
        <w:rPr>
          <w:rFonts w:ascii="Verdana" w:hAnsi="Verdana"/>
          <w:sz w:val="20"/>
          <w:szCs w:val="20"/>
          <w:lang w:eastAsia="zh-CN"/>
        </w:rPr>
        <w:t xml:space="preserve"> sourced from suppliers that comply with good agricultural practices</w:t>
      </w:r>
      <w:r w:rsidR="009D4408">
        <w:rPr>
          <w:rFonts w:ascii="Verdana" w:hAnsi="Verdana"/>
          <w:sz w:val="20"/>
          <w:szCs w:val="20"/>
          <w:lang w:eastAsia="zh-CN"/>
        </w:rPr>
        <w:t xml:space="preserve"> (GAP) have been considered to meet</w:t>
      </w:r>
      <w:r w:rsidR="005A3516" w:rsidRPr="005A3516">
        <w:rPr>
          <w:rFonts w:ascii="Verdana" w:hAnsi="Verdana"/>
          <w:sz w:val="20"/>
          <w:szCs w:val="20"/>
          <w:lang w:eastAsia="zh-CN"/>
        </w:rPr>
        <w:t xml:space="preserve"> </w:t>
      </w:r>
      <w:r w:rsidR="00557A9C">
        <w:rPr>
          <w:rFonts w:ascii="Verdana" w:hAnsi="Verdana"/>
          <w:sz w:val="20"/>
          <w:szCs w:val="20"/>
          <w:lang w:eastAsia="zh-CN"/>
        </w:rPr>
        <w:t xml:space="preserve">the requirements of the </w:t>
      </w:r>
      <w:r w:rsidR="00557A9C" w:rsidRPr="00557A9C">
        <w:rPr>
          <w:rFonts w:ascii="Verdana" w:hAnsi="Verdana"/>
          <w:sz w:val="20"/>
          <w:szCs w:val="20"/>
          <w:lang w:eastAsia="zh-CN"/>
        </w:rPr>
        <w:t>Food Notice - NZ Maximum Residue Limits for Agricultural Compounds</w:t>
      </w:r>
      <w:r w:rsidR="00D15C20">
        <w:rPr>
          <w:rFonts w:ascii="Verdana" w:hAnsi="Verdana"/>
          <w:sz w:val="20"/>
          <w:szCs w:val="20"/>
          <w:lang w:eastAsia="zh-CN"/>
        </w:rPr>
        <w:t xml:space="preserve">, as such </w:t>
      </w:r>
      <w:r w:rsidR="00D15C20" w:rsidRPr="00D15C20">
        <w:rPr>
          <w:rFonts w:ascii="Verdana" w:hAnsi="Verdana"/>
          <w:sz w:val="20"/>
          <w:szCs w:val="20"/>
          <w:lang w:eastAsia="zh-CN"/>
        </w:rPr>
        <w:t>chemical residues were not considered any further in the hazard analysis above</w:t>
      </w:r>
      <w:r w:rsidR="005A3516" w:rsidRPr="005A3516">
        <w:rPr>
          <w:rFonts w:ascii="Verdana" w:hAnsi="Verdana"/>
          <w:sz w:val="20"/>
          <w:szCs w:val="20"/>
          <w:lang w:eastAsia="zh-CN"/>
        </w:rPr>
        <w:t>.</w:t>
      </w:r>
    </w:p>
    <w:p w14:paraId="3CD1AE4B" w14:textId="14581CA1" w:rsidR="005A3516" w:rsidRPr="005A3516" w:rsidRDefault="005A3516" w:rsidP="005A3516">
      <w:pPr>
        <w:pStyle w:val="ListParagraph"/>
        <w:numPr>
          <w:ilvl w:val="0"/>
          <w:numId w:val="17"/>
        </w:numPr>
        <w:rPr>
          <w:rFonts w:ascii="Verdana" w:hAnsi="Verdana"/>
          <w:sz w:val="20"/>
          <w:szCs w:val="20"/>
          <w:lang w:eastAsia="zh-CN"/>
        </w:rPr>
      </w:pPr>
      <w:r w:rsidRPr="005A3516">
        <w:rPr>
          <w:rFonts w:ascii="Verdana" w:hAnsi="Verdana"/>
          <w:sz w:val="20"/>
          <w:szCs w:val="20"/>
          <w:lang w:eastAsia="zh-CN"/>
        </w:rPr>
        <w:t>Sulphite can induce asthma in susceptible individuals.</w:t>
      </w:r>
    </w:p>
    <w:p w14:paraId="08E9F4BE" w14:textId="77777777" w:rsidR="0015704D" w:rsidRDefault="005A3516" w:rsidP="005A3516">
      <w:pPr>
        <w:pStyle w:val="ListParagraph"/>
        <w:numPr>
          <w:ilvl w:val="0"/>
          <w:numId w:val="17"/>
        </w:numPr>
        <w:rPr>
          <w:rFonts w:ascii="Verdana" w:hAnsi="Verdana"/>
          <w:sz w:val="20"/>
          <w:szCs w:val="20"/>
          <w:lang w:eastAsia="zh-CN"/>
        </w:rPr>
        <w:sectPr w:rsidR="0015704D" w:rsidSect="00B164D0">
          <w:pgSz w:w="16838" w:h="11906" w:orient="landscape"/>
          <w:pgMar w:top="1440" w:right="1440" w:bottom="1440" w:left="1440" w:header="708" w:footer="708" w:gutter="0"/>
          <w:cols w:space="708"/>
          <w:docGrid w:linePitch="360"/>
        </w:sectPr>
      </w:pPr>
      <w:r w:rsidRPr="005A3516">
        <w:rPr>
          <w:rFonts w:ascii="Verdana" w:hAnsi="Verdana"/>
          <w:sz w:val="20"/>
          <w:szCs w:val="20"/>
          <w:lang w:eastAsia="zh-CN"/>
        </w:rPr>
        <w:t>Residues of fining agents with animal protein derivatives</w:t>
      </w:r>
      <w:r w:rsidR="009D4408">
        <w:rPr>
          <w:rFonts w:ascii="Verdana" w:hAnsi="Verdana"/>
          <w:sz w:val="20"/>
          <w:szCs w:val="20"/>
          <w:lang w:eastAsia="zh-CN"/>
        </w:rPr>
        <w:t xml:space="preserve"> (egg, fish etc)</w:t>
      </w:r>
      <w:r w:rsidRPr="005A3516">
        <w:rPr>
          <w:rFonts w:ascii="Verdana" w:hAnsi="Verdana"/>
          <w:sz w:val="20"/>
          <w:szCs w:val="20"/>
          <w:lang w:eastAsia="zh-CN"/>
        </w:rPr>
        <w:t xml:space="preserve"> can cause allergic reaction in susceptible individuals.</w:t>
      </w:r>
    </w:p>
    <w:p w14:paraId="6BB8DEE6" w14:textId="7598B931" w:rsidR="0015704D" w:rsidRPr="0015704D" w:rsidRDefault="0015704D" w:rsidP="0015704D">
      <w:pPr>
        <w:spacing w:after="0"/>
        <w:rPr>
          <w:rFonts w:ascii="Verdana" w:hAnsi="Verdana"/>
          <w:u w:val="single"/>
          <w:lang w:eastAsia="zh-CN"/>
        </w:rPr>
      </w:pPr>
      <w:r w:rsidRPr="0015704D">
        <w:rPr>
          <w:rFonts w:ascii="Verdana" w:hAnsi="Verdana"/>
          <w:lang w:eastAsia="zh-CN"/>
        </w:rPr>
        <w:lastRenderedPageBreak/>
        <w:t>6.1.</w:t>
      </w:r>
      <w:r>
        <w:rPr>
          <w:rFonts w:ascii="Verdana" w:hAnsi="Verdana"/>
          <w:lang w:eastAsia="zh-CN"/>
        </w:rPr>
        <w:t>3</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Flow</w:t>
      </w:r>
      <w:r w:rsidRPr="0015704D">
        <w:rPr>
          <w:rFonts w:ascii="Verdana" w:hAnsi="Verdana"/>
          <w:u w:val="single"/>
          <w:lang w:eastAsia="zh-CN"/>
        </w:rPr>
        <w:t xml:space="preserve"> - Beer </w:t>
      </w:r>
    </w:p>
    <w:p w14:paraId="619EF96F" w14:textId="7F0592EB" w:rsidR="00EE7F92" w:rsidRDefault="00EE7F92" w:rsidP="0015704D">
      <w:pPr>
        <w:rPr>
          <w:rFonts w:ascii="Verdana" w:hAnsi="Verdana"/>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712"/>
        <w:gridCol w:w="2842"/>
      </w:tblGrid>
      <w:tr w:rsidR="00C62B4D" w14:paraId="704F702B" w14:textId="77777777" w:rsidTr="0067693B">
        <w:tc>
          <w:tcPr>
            <w:tcW w:w="2972" w:type="dxa"/>
            <w:shd w:val="pct12" w:color="auto" w:fill="FFFFFF"/>
          </w:tcPr>
          <w:p w14:paraId="4BDA191E"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Inputs</w:t>
            </w:r>
          </w:p>
        </w:tc>
        <w:tc>
          <w:tcPr>
            <w:tcW w:w="2712" w:type="dxa"/>
            <w:shd w:val="pct12" w:color="auto" w:fill="FFFFFF"/>
          </w:tcPr>
          <w:p w14:paraId="090264E6"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Process Step</w:t>
            </w:r>
          </w:p>
        </w:tc>
        <w:tc>
          <w:tcPr>
            <w:tcW w:w="2842" w:type="dxa"/>
            <w:shd w:val="pct12" w:color="auto" w:fill="FFFFFF"/>
          </w:tcPr>
          <w:p w14:paraId="3BE58C98" w14:textId="77777777" w:rsidR="00C62B4D" w:rsidRPr="00C62B4D" w:rsidRDefault="00C62B4D" w:rsidP="0045398D">
            <w:pPr>
              <w:spacing w:before="60" w:after="60"/>
              <w:jc w:val="center"/>
              <w:rPr>
                <w:rFonts w:ascii="Verdana" w:hAnsi="Verdana"/>
                <w:b/>
                <w:sz w:val="20"/>
              </w:rPr>
            </w:pPr>
            <w:r w:rsidRPr="00C62B4D">
              <w:rPr>
                <w:rFonts w:ascii="Verdana" w:hAnsi="Verdana"/>
                <w:b/>
                <w:sz w:val="20"/>
              </w:rPr>
              <w:t>Outputs</w:t>
            </w:r>
          </w:p>
        </w:tc>
      </w:tr>
      <w:tr w:rsidR="00C62B4D" w14:paraId="67DF6C63" w14:textId="77777777" w:rsidTr="0067693B">
        <w:tc>
          <w:tcPr>
            <w:tcW w:w="2972" w:type="dxa"/>
          </w:tcPr>
          <w:p w14:paraId="328F105E" w14:textId="29C516C0" w:rsidR="00C62B4D" w:rsidRPr="00C62B4D" w:rsidRDefault="00C62B4D" w:rsidP="0045398D">
            <w:pPr>
              <w:pStyle w:val="Index"/>
              <w:suppressLineNumbers w:val="0"/>
              <w:spacing w:before="60" w:after="60"/>
              <w:rPr>
                <w:rFonts w:ascii="Verdana" w:hAnsi="Verdana"/>
                <w:sz w:val="20"/>
              </w:rPr>
            </w:pPr>
          </w:p>
        </w:tc>
        <w:tc>
          <w:tcPr>
            <w:tcW w:w="2712" w:type="dxa"/>
          </w:tcPr>
          <w:p w14:paraId="3573AB9C" w14:textId="4EC39839" w:rsidR="00C62B4D" w:rsidRPr="00C62B4D" w:rsidRDefault="00C62B4D" w:rsidP="00C62B4D">
            <w:pPr>
              <w:pStyle w:val="ListParagraph"/>
              <w:numPr>
                <w:ilvl w:val="0"/>
                <w:numId w:val="25"/>
              </w:numPr>
              <w:spacing w:before="60" w:after="60"/>
              <w:jc w:val="center"/>
              <w:rPr>
                <w:rFonts w:ascii="Verdana" w:hAnsi="Verdana"/>
                <w:b/>
                <w:bCs/>
                <w:sz w:val="20"/>
              </w:rPr>
            </w:pPr>
          </w:p>
          <w:p w14:paraId="318B41C3" w14:textId="00001CAC" w:rsidR="00C62B4D" w:rsidRPr="00C62B4D" w:rsidRDefault="00C62B4D" w:rsidP="0045398D">
            <w:pPr>
              <w:spacing w:before="60" w:after="60"/>
              <w:jc w:val="center"/>
              <w:rPr>
                <w:rFonts w:ascii="Verdana" w:hAnsi="Verdana"/>
                <w:sz w:val="20"/>
              </w:rPr>
            </w:pPr>
            <w:r w:rsidRPr="00C62B4D">
              <w:rPr>
                <w:rFonts w:ascii="Verdana" w:hAnsi="Verdana"/>
                <w:sz w:val="20"/>
              </w:rPr>
              <w:t>Purchasing</w:t>
            </w:r>
          </w:p>
        </w:tc>
        <w:tc>
          <w:tcPr>
            <w:tcW w:w="2842" w:type="dxa"/>
          </w:tcPr>
          <w:p w14:paraId="46669142" w14:textId="77777777" w:rsidR="00C62B4D" w:rsidRPr="00C62B4D" w:rsidRDefault="00C62B4D" w:rsidP="0045398D">
            <w:pPr>
              <w:spacing w:before="60" w:after="60"/>
              <w:rPr>
                <w:rFonts w:ascii="Verdana" w:hAnsi="Verdana"/>
                <w:sz w:val="20"/>
              </w:rPr>
            </w:pPr>
          </w:p>
        </w:tc>
      </w:tr>
      <w:tr w:rsidR="00C62B4D" w14:paraId="665BA0F3" w14:textId="77777777" w:rsidTr="0067693B">
        <w:tc>
          <w:tcPr>
            <w:tcW w:w="2972" w:type="dxa"/>
          </w:tcPr>
          <w:p w14:paraId="014E02E3" w14:textId="77777777" w:rsidR="00C62B4D" w:rsidRPr="00C62B4D" w:rsidRDefault="00C62B4D" w:rsidP="0045398D">
            <w:pPr>
              <w:spacing w:before="60" w:after="60"/>
              <w:rPr>
                <w:rFonts w:ascii="Verdana" w:hAnsi="Verdana"/>
                <w:sz w:val="20"/>
              </w:rPr>
            </w:pPr>
            <w:r w:rsidRPr="00C62B4D">
              <w:rPr>
                <w:rFonts w:ascii="Verdana" w:hAnsi="Verdana"/>
                <w:sz w:val="20"/>
              </w:rPr>
              <w:t>Raw Materials:</w:t>
            </w:r>
          </w:p>
          <w:p w14:paraId="3915415F" w14:textId="77777777" w:rsidR="00FF36E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Hops</w:t>
            </w:r>
          </w:p>
          <w:p w14:paraId="28D167AD" w14:textId="4BEF6FBC" w:rsidR="00C62B4D" w:rsidRPr="00C62B4D" w:rsidRDefault="00FF36ED" w:rsidP="00C62B4D">
            <w:pPr>
              <w:numPr>
                <w:ilvl w:val="0"/>
                <w:numId w:val="18"/>
              </w:numPr>
              <w:suppressAutoHyphens/>
              <w:spacing w:before="60" w:after="60" w:line="240" w:lineRule="auto"/>
              <w:rPr>
                <w:rFonts w:ascii="Verdana" w:hAnsi="Verdana"/>
                <w:sz w:val="20"/>
              </w:rPr>
            </w:pPr>
            <w:r>
              <w:rPr>
                <w:rFonts w:ascii="Verdana" w:hAnsi="Verdana"/>
                <w:sz w:val="20"/>
              </w:rPr>
              <w:t>M</w:t>
            </w:r>
            <w:r w:rsidR="00034BB7">
              <w:rPr>
                <w:rFonts w:ascii="Verdana" w:hAnsi="Verdana"/>
                <w:sz w:val="20"/>
              </w:rPr>
              <w:t xml:space="preserve">alted </w:t>
            </w:r>
            <w:r w:rsidR="00C62B4D" w:rsidRPr="00C62B4D">
              <w:rPr>
                <w:rFonts w:ascii="Verdana" w:hAnsi="Verdana"/>
                <w:sz w:val="20"/>
              </w:rPr>
              <w:t>grain</w:t>
            </w:r>
          </w:p>
          <w:p w14:paraId="04832DF2" w14:textId="77777777"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Yeast</w:t>
            </w:r>
          </w:p>
          <w:p w14:paraId="37865094" w14:textId="524F82A0"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 xml:space="preserve">Additives / </w:t>
            </w:r>
            <w:r w:rsidR="0067693B">
              <w:rPr>
                <w:rFonts w:ascii="Verdana" w:hAnsi="Verdana"/>
                <w:sz w:val="20"/>
              </w:rPr>
              <w:t>Process aids</w:t>
            </w:r>
          </w:p>
          <w:p w14:paraId="36CE0DAD" w14:textId="77777777"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Packaging</w:t>
            </w:r>
          </w:p>
        </w:tc>
        <w:tc>
          <w:tcPr>
            <w:tcW w:w="2712" w:type="dxa"/>
          </w:tcPr>
          <w:p w14:paraId="19EF8828" w14:textId="231AE505" w:rsidR="00C62B4D" w:rsidRPr="00C62B4D" w:rsidRDefault="00C62B4D" w:rsidP="0045398D">
            <w:pPr>
              <w:spacing w:before="60" w:after="60"/>
              <w:jc w:val="center"/>
              <w:rPr>
                <w:rFonts w:ascii="Verdana" w:hAnsi="Verdana"/>
                <w:sz w:val="20"/>
              </w:rPr>
            </w:pPr>
            <w:r w:rsidRPr="00C62B4D">
              <w:rPr>
                <w:rFonts w:ascii="Verdana" w:hAnsi="Verdana"/>
                <w:sz w:val="20"/>
              </w:rPr>
              <w:t>2.</w:t>
            </w:r>
          </w:p>
          <w:p w14:paraId="15472600" w14:textId="1F58ACDB" w:rsidR="00C62B4D" w:rsidRPr="00C62B4D" w:rsidRDefault="00C62B4D" w:rsidP="0045398D">
            <w:pPr>
              <w:spacing w:before="60" w:after="60"/>
              <w:jc w:val="center"/>
              <w:rPr>
                <w:rFonts w:ascii="Verdana" w:hAnsi="Verdana"/>
                <w:sz w:val="20"/>
              </w:rPr>
            </w:pPr>
            <w:r w:rsidRPr="00C62B4D">
              <w:rPr>
                <w:rFonts w:ascii="Verdana" w:hAnsi="Verdana"/>
                <w:sz w:val="20"/>
              </w:rPr>
              <w:t>Receiving</w:t>
            </w:r>
          </w:p>
        </w:tc>
        <w:tc>
          <w:tcPr>
            <w:tcW w:w="2842" w:type="dxa"/>
          </w:tcPr>
          <w:p w14:paraId="65897BB4" w14:textId="77777777" w:rsidR="00C62B4D" w:rsidRPr="00C62B4D" w:rsidRDefault="00C62B4D" w:rsidP="0045398D">
            <w:pPr>
              <w:spacing w:before="60" w:after="60"/>
              <w:rPr>
                <w:rFonts w:ascii="Verdana" w:hAnsi="Verdana"/>
                <w:sz w:val="20"/>
              </w:rPr>
            </w:pPr>
          </w:p>
        </w:tc>
      </w:tr>
      <w:tr w:rsidR="00C62B4D" w14:paraId="46980144" w14:textId="77777777" w:rsidTr="0067693B">
        <w:tc>
          <w:tcPr>
            <w:tcW w:w="2972" w:type="dxa"/>
          </w:tcPr>
          <w:p w14:paraId="643A6E14" w14:textId="77777777" w:rsidR="00C62B4D" w:rsidRPr="00C62B4D" w:rsidRDefault="00C62B4D" w:rsidP="0045398D">
            <w:pPr>
              <w:spacing w:before="60" w:after="60"/>
              <w:rPr>
                <w:rFonts w:ascii="Verdana" w:hAnsi="Verdana"/>
                <w:sz w:val="20"/>
              </w:rPr>
            </w:pPr>
          </w:p>
        </w:tc>
        <w:tc>
          <w:tcPr>
            <w:tcW w:w="2712" w:type="dxa"/>
          </w:tcPr>
          <w:p w14:paraId="309DF35F" w14:textId="248A8009" w:rsidR="00C62B4D" w:rsidRPr="00C62B4D" w:rsidRDefault="00C62B4D" w:rsidP="0045398D">
            <w:pPr>
              <w:pStyle w:val="FootnoteText"/>
              <w:spacing w:before="60" w:after="60"/>
              <w:jc w:val="center"/>
              <w:rPr>
                <w:rFonts w:ascii="Verdana" w:hAnsi="Verdana"/>
              </w:rPr>
            </w:pPr>
            <w:r w:rsidRPr="00C62B4D">
              <w:rPr>
                <w:rFonts w:ascii="Verdana" w:hAnsi="Verdana"/>
              </w:rPr>
              <w:t>3.</w:t>
            </w:r>
          </w:p>
          <w:p w14:paraId="368E51E3" w14:textId="27EC1425" w:rsidR="00C62B4D" w:rsidRPr="00C62B4D" w:rsidRDefault="00C62B4D" w:rsidP="0045398D">
            <w:pPr>
              <w:pStyle w:val="FootnoteText"/>
              <w:spacing w:before="60" w:after="60"/>
              <w:jc w:val="center"/>
              <w:rPr>
                <w:rFonts w:ascii="Verdana" w:hAnsi="Verdana"/>
              </w:rPr>
            </w:pPr>
            <w:r w:rsidRPr="00C62B4D">
              <w:rPr>
                <w:rFonts w:ascii="Verdana" w:hAnsi="Verdana"/>
              </w:rPr>
              <w:t>Storing</w:t>
            </w:r>
          </w:p>
        </w:tc>
        <w:tc>
          <w:tcPr>
            <w:tcW w:w="2842" w:type="dxa"/>
          </w:tcPr>
          <w:p w14:paraId="0CE84B28" w14:textId="77777777" w:rsidR="00C62B4D" w:rsidRPr="00C62B4D" w:rsidRDefault="00C62B4D" w:rsidP="0045398D">
            <w:pPr>
              <w:spacing w:before="60" w:after="60"/>
              <w:rPr>
                <w:rFonts w:ascii="Verdana" w:hAnsi="Verdana"/>
                <w:sz w:val="20"/>
              </w:rPr>
            </w:pPr>
          </w:p>
        </w:tc>
      </w:tr>
      <w:tr w:rsidR="00C62B4D" w14:paraId="7D0E428D" w14:textId="77777777" w:rsidTr="0067693B">
        <w:tc>
          <w:tcPr>
            <w:tcW w:w="2972" w:type="dxa"/>
          </w:tcPr>
          <w:p w14:paraId="50756F56" w14:textId="162FC44E" w:rsidR="00C62B4D" w:rsidRPr="00C62B4D" w:rsidRDefault="00C62B4D" w:rsidP="00C62B4D">
            <w:pPr>
              <w:numPr>
                <w:ilvl w:val="0"/>
                <w:numId w:val="21"/>
              </w:numPr>
              <w:suppressAutoHyphens/>
              <w:spacing w:before="60" w:after="60" w:line="240" w:lineRule="auto"/>
              <w:rPr>
                <w:rFonts w:ascii="Verdana" w:hAnsi="Verdana"/>
                <w:sz w:val="20"/>
              </w:rPr>
            </w:pPr>
            <w:r w:rsidRPr="00C62B4D">
              <w:rPr>
                <w:rFonts w:ascii="Verdana" w:hAnsi="Verdana"/>
                <w:sz w:val="20"/>
              </w:rPr>
              <w:t>Grain</w:t>
            </w:r>
          </w:p>
        </w:tc>
        <w:tc>
          <w:tcPr>
            <w:tcW w:w="2712" w:type="dxa"/>
          </w:tcPr>
          <w:p w14:paraId="443D03B8" w14:textId="7F5A81E8" w:rsidR="00C62B4D" w:rsidRPr="00C62B4D" w:rsidRDefault="00C62B4D" w:rsidP="0045398D">
            <w:pPr>
              <w:spacing w:before="60" w:after="60"/>
              <w:jc w:val="center"/>
              <w:rPr>
                <w:rFonts w:ascii="Verdana" w:hAnsi="Verdana"/>
                <w:sz w:val="20"/>
              </w:rPr>
            </w:pPr>
            <w:r w:rsidRPr="00C62B4D">
              <w:rPr>
                <w:rFonts w:ascii="Verdana" w:hAnsi="Verdana"/>
                <w:sz w:val="20"/>
              </w:rPr>
              <w:t>4.</w:t>
            </w:r>
          </w:p>
          <w:p w14:paraId="73C47CA3" w14:textId="77AED406" w:rsidR="00C62B4D" w:rsidRPr="00C62B4D" w:rsidRDefault="00C62B4D" w:rsidP="0045398D">
            <w:pPr>
              <w:spacing w:before="60" w:after="60"/>
              <w:jc w:val="center"/>
              <w:rPr>
                <w:rFonts w:ascii="Verdana" w:hAnsi="Verdana"/>
                <w:sz w:val="20"/>
              </w:rPr>
            </w:pPr>
            <w:r w:rsidRPr="00C62B4D">
              <w:rPr>
                <w:rFonts w:ascii="Verdana" w:hAnsi="Verdana"/>
                <w:sz w:val="20"/>
              </w:rPr>
              <w:t>Milling</w:t>
            </w:r>
          </w:p>
        </w:tc>
        <w:tc>
          <w:tcPr>
            <w:tcW w:w="2842" w:type="dxa"/>
          </w:tcPr>
          <w:p w14:paraId="53EE6E67" w14:textId="77777777" w:rsidR="00C62B4D" w:rsidRPr="00C62B4D" w:rsidRDefault="00C62B4D" w:rsidP="0045398D">
            <w:pPr>
              <w:spacing w:before="60" w:after="60"/>
              <w:rPr>
                <w:rFonts w:ascii="Verdana" w:hAnsi="Verdana"/>
                <w:sz w:val="20"/>
              </w:rPr>
            </w:pPr>
          </w:p>
        </w:tc>
      </w:tr>
      <w:tr w:rsidR="00C62B4D" w14:paraId="4E6D7B15" w14:textId="77777777" w:rsidTr="0067693B">
        <w:tc>
          <w:tcPr>
            <w:tcW w:w="2972" w:type="dxa"/>
          </w:tcPr>
          <w:p w14:paraId="271C12F6" w14:textId="05514DCA" w:rsidR="00C62B4D" w:rsidRDefault="00C62B4D" w:rsidP="00C62B4D">
            <w:pPr>
              <w:numPr>
                <w:ilvl w:val="0"/>
                <w:numId w:val="19"/>
              </w:numPr>
              <w:suppressAutoHyphens/>
              <w:spacing w:before="60" w:after="60" w:line="240" w:lineRule="auto"/>
              <w:rPr>
                <w:rFonts w:ascii="Verdana" w:hAnsi="Verdana"/>
                <w:sz w:val="20"/>
              </w:rPr>
            </w:pPr>
            <w:r w:rsidRPr="00C62B4D">
              <w:rPr>
                <w:rFonts w:ascii="Verdana" w:hAnsi="Verdana"/>
                <w:sz w:val="20"/>
              </w:rPr>
              <w:t>Water</w:t>
            </w:r>
          </w:p>
          <w:p w14:paraId="1B21F947" w14:textId="2A338987" w:rsidR="00AE439E" w:rsidRPr="00C62B4D" w:rsidRDefault="00AE439E" w:rsidP="00C62B4D">
            <w:pPr>
              <w:numPr>
                <w:ilvl w:val="0"/>
                <w:numId w:val="19"/>
              </w:numPr>
              <w:suppressAutoHyphens/>
              <w:spacing w:before="60" w:after="60" w:line="240" w:lineRule="auto"/>
              <w:rPr>
                <w:rFonts w:ascii="Verdana" w:hAnsi="Verdana"/>
                <w:sz w:val="20"/>
              </w:rPr>
            </w:pPr>
            <w:r>
              <w:rPr>
                <w:rFonts w:ascii="Verdana" w:hAnsi="Verdana"/>
                <w:sz w:val="20"/>
              </w:rPr>
              <w:t>Grain</w:t>
            </w:r>
          </w:p>
          <w:p w14:paraId="3569908E" w14:textId="77777777" w:rsidR="00C62B4D" w:rsidRPr="00C62B4D" w:rsidRDefault="00C62B4D" w:rsidP="00C62B4D">
            <w:pPr>
              <w:numPr>
                <w:ilvl w:val="0"/>
                <w:numId w:val="19"/>
              </w:numPr>
              <w:suppressAutoHyphens/>
              <w:spacing w:before="60" w:after="60" w:line="240" w:lineRule="auto"/>
              <w:rPr>
                <w:rFonts w:ascii="Verdana" w:hAnsi="Verdana"/>
                <w:sz w:val="20"/>
              </w:rPr>
            </w:pPr>
            <w:r w:rsidRPr="00C62B4D">
              <w:rPr>
                <w:rFonts w:ascii="Verdana" w:hAnsi="Verdana"/>
                <w:sz w:val="20"/>
              </w:rPr>
              <w:t>Hops</w:t>
            </w:r>
          </w:p>
          <w:p w14:paraId="2DDB59C0" w14:textId="77777777" w:rsidR="00C62B4D" w:rsidRPr="00C62B4D" w:rsidRDefault="00C62B4D" w:rsidP="00C62B4D">
            <w:pPr>
              <w:numPr>
                <w:ilvl w:val="0"/>
                <w:numId w:val="19"/>
              </w:numPr>
              <w:suppressAutoHyphens/>
              <w:spacing w:before="60" w:after="60" w:line="240" w:lineRule="auto"/>
              <w:rPr>
                <w:rFonts w:ascii="Verdana" w:hAnsi="Verdana"/>
                <w:sz w:val="20"/>
              </w:rPr>
            </w:pPr>
            <w:r w:rsidRPr="00C62B4D">
              <w:rPr>
                <w:rFonts w:ascii="Verdana" w:hAnsi="Verdana"/>
                <w:sz w:val="20"/>
              </w:rPr>
              <w:t>Processing aids</w:t>
            </w:r>
          </w:p>
          <w:p w14:paraId="530EDD23" w14:textId="77777777" w:rsidR="00C62B4D" w:rsidRPr="00C62B4D" w:rsidRDefault="00C62B4D" w:rsidP="00C62B4D">
            <w:pPr>
              <w:numPr>
                <w:ilvl w:val="0"/>
                <w:numId w:val="19"/>
              </w:numPr>
              <w:suppressAutoHyphens/>
              <w:spacing w:before="60" w:after="60" w:line="240" w:lineRule="auto"/>
              <w:rPr>
                <w:rFonts w:ascii="Verdana" w:hAnsi="Verdana"/>
                <w:sz w:val="20"/>
              </w:rPr>
            </w:pPr>
            <w:r w:rsidRPr="00C62B4D">
              <w:rPr>
                <w:rFonts w:ascii="Verdana" w:hAnsi="Verdana"/>
                <w:sz w:val="20"/>
              </w:rPr>
              <w:t>Fermentable adjuncts</w:t>
            </w:r>
          </w:p>
        </w:tc>
        <w:tc>
          <w:tcPr>
            <w:tcW w:w="2712" w:type="dxa"/>
          </w:tcPr>
          <w:p w14:paraId="7C465F01" w14:textId="26CD94C0" w:rsidR="00C62B4D" w:rsidRPr="00C62B4D" w:rsidRDefault="00C62B4D" w:rsidP="0045398D">
            <w:pPr>
              <w:spacing w:before="60" w:after="60"/>
              <w:jc w:val="center"/>
              <w:rPr>
                <w:rFonts w:ascii="Verdana" w:hAnsi="Verdana"/>
                <w:sz w:val="20"/>
              </w:rPr>
            </w:pPr>
            <w:r w:rsidRPr="00C62B4D">
              <w:rPr>
                <w:rFonts w:ascii="Verdana" w:hAnsi="Verdana"/>
                <w:sz w:val="20"/>
              </w:rPr>
              <w:t>5.</w:t>
            </w:r>
          </w:p>
          <w:p w14:paraId="32B79AA8" w14:textId="58CDAAD6" w:rsidR="00C62B4D" w:rsidRPr="00C62B4D" w:rsidRDefault="00C62B4D" w:rsidP="0045398D">
            <w:pPr>
              <w:spacing w:before="60" w:after="60"/>
              <w:jc w:val="center"/>
              <w:rPr>
                <w:rFonts w:ascii="Verdana" w:hAnsi="Verdana"/>
                <w:sz w:val="20"/>
              </w:rPr>
            </w:pPr>
            <w:r w:rsidRPr="00C62B4D">
              <w:rPr>
                <w:rFonts w:ascii="Verdana" w:hAnsi="Verdana"/>
                <w:sz w:val="20"/>
              </w:rPr>
              <w:t>Brewing</w:t>
            </w:r>
            <w:r w:rsidR="00A2300E">
              <w:rPr>
                <w:rFonts w:ascii="Verdana" w:hAnsi="Verdana"/>
                <w:sz w:val="20"/>
              </w:rPr>
              <w:t xml:space="preserve"> [Mashing, Lautering, Kettle Boil</w:t>
            </w:r>
            <w:r w:rsidR="00AE439E">
              <w:rPr>
                <w:rFonts w:ascii="Verdana" w:hAnsi="Verdana"/>
                <w:sz w:val="20"/>
              </w:rPr>
              <w:t>, Blending, Heat exchanger]</w:t>
            </w:r>
          </w:p>
        </w:tc>
        <w:tc>
          <w:tcPr>
            <w:tcW w:w="2842" w:type="dxa"/>
          </w:tcPr>
          <w:p w14:paraId="48B4EB15" w14:textId="77777777"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spent grain</w:t>
            </w:r>
          </w:p>
          <w:p w14:paraId="5FAB6C7A" w14:textId="77777777" w:rsidR="00C62B4D" w:rsidRPr="00C62B4D" w:rsidRDefault="00C62B4D" w:rsidP="0045398D">
            <w:pPr>
              <w:spacing w:before="60" w:after="60"/>
              <w:rPr>
                <w:rFonts w:ascii="Verdana" w:hAnsi="Verdana"/>
                <w:sz w:val="20"/>
              </w:rPr>
            </w:pPr>
          </w:p>
        </w:tc>
      </w:tr>
      <w:tr w:rsidR="00C62B4D" w14:paraId="57277C04" w14:textId="77777777" w:rsidTr="0067693B">
        <w:tc>
          <w:tcPr>
            <w:tcW w:w="2972" w:type="dxa"/>
          </w:tcPr>
          <w:p w14:paraId="5917AAA5" w14:textId="77777777"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Dry hops</w:t>
            </w:r>
          </w:p>
          <w:p w14:paraId="7BFA69DC" w14:textId="77777777"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Gas</w:t>
            </w:r>
          </w:p>
          <w:p w14:paraId="50BC08AB" w14:textId="2B832F5F"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Yeast</w:t>
            </w:r>
            <w:r w:rsidR="0067693B">
              <w:rPr>
                <w:rFonts w:ascii="Verdana" w:hAnsi="Verdana"/>
                <w:sz w:val="20"/>
              </w:rPr>
              <w:t xml:space="preserve"> +</w:t>
            </w:r>
            <w:r w:rsidRPr="00C62B4D">
              <w:rPr>
                <w:rFonts w:ascii="Verdana" w:hAnsi="Verdana"/>
                <w:sz w:val="20"/>
              </w:rPr>
              <w:t xml:space="preserve"> nutrient</w:t>
            </w:r>
          </w:p>
          <w:p w14:paraId="58A569C0" w14:textId="77777777" w:rsidR="00C62B4D" w:rsidRPr="00C62B4D" w:rsidRDefault="00C62B4D" w:rsidP="00C62B4D">
            <w:pPr>
              <w:numPr>
                <w:ilvl w:val="0"/>
                <w:numId w:val="24"/>
              </w:numPr>
              <w:suppressAutoHyphens/>
              <w:spacing w:before="60" w:after="60" w:line="240" w:lineRule="auto"/>
              <w:rPr>
                <w:rFonts w:ascii="Verdana" w:hAnsi="Verdana"/>
                <w:sz w:val="20"/>
              </w:rPr>
            </w:pPr>
            <w:r w:rsidRPr="00C62B4D">
              <w:rPr>
                <w:rFonts w:ascii="Verdana" w:hAnsi="Verdana"/>
                <w:sz w:val="20"/>
              </w:rPr>
              <w:t>Processing aids</w:t>
            </w:r>
          </w:p>
        </w:tc>
        <w:tc>
          <w:tcPr>
            <w:tcW w:w="2712" w:type="dxa"/>
          </w:tcPr>
          <w:p w14:paraId="5CD6DE96" w14:textId="37D06444" w:rsidR="00C62B4D" w:rsidRPr="00C62B4D" w:rsidRDefault="00C62B4D" w:rsidP="0045398D">
            <w:pPr>
              <w:spacing w:before="60" w:after="60"/>
              <w:jc w:val="center"/>
              <w:rPr>
                <w:rFonts w:ascii="Verdana" w:hAnsi="Verdana"/>
                <w:sz w:val="20"/>
              </w:rPr>
            </w:pPr>
            <w:r w:rsidRPr="00C62B4D">
              <w:rPr>
                <w:rFonts w:ascii="Verdana" w:hAnsi="Verdana"/>
                <w:sz w:val="20"/>
              </w:rPr>
              <w:t>6.</w:t>
            </w:r>
          </w:p>
          <w:p w14:paraId="3A2619A7" w14:textId="50A3485D" w:rsidR="00C62B4D" w:rsidRPr="00C62B4D" w:rsidRDefault="00C62B4D" w:rsidP="0045398D">
            <w:pPr>
              <w:spacing w:before="60" w:after="60"/>
              <w:jc w:val="center"/>
              <w:rPr>
                <w:rFonts w:ascii="Verdana" w:hAnsi="Verdana"/>
                <w:sz w:val="20"/>
              </w:rPr>
            </w:pPr>
            <w:r w:rsidRPr="00C62B4D">
              <w:rPr>
                <w:rFonts w:ascii="Verdana" w:hAnsi="Verdana"/>
                <w:sz w:val="20"/>
              </w:rPr>
              <w:t>Fermentation</w:t>
            </w:r>
          </w:p>
        </w:tc>
        <w:tc>
          <w:tcPr>
            <w:tcW w:w="2842" w:type="dxa"/>
          </w:tcPr>
          <w:p w14:paraId="62B2EA7E" w14:textId="77777777" w:rsidR="00C62B4D" w:rsidRPr="00C62B4D" w:rsidRDefault="00C62B4D" w:rsidP="00C62B4D">
            <w:pPr>
              <w:numPr>
                <w:ilvl w:val="0"/>
                <w:numId w:val="23"/>
              </w:numPr>
              <w:suppressAutoHyphens/>
              <w:spacing w:before="60" w:after="60" w:line="240" w:lineRule="auto"/>
              <w:rPr>
                <w:rFonts w:ascii="Verdana" w:hAnsi="Verdana"/>
                <w:sz w:val="20"/>
              </w:rPr>
            </w:pPr>
            <w:r w:rsidRPr="00C62B4D">
              <w:rPr>
                <w:rFonts w:ascii="Verdana" w:hAnsi="Verdana"/>
                <w:sz w:val="20"/>
              </w:rPr>
              <w:t>Yeast harvested and/or waste</w:t>
            </w:r>
          </w:p>
          <w:p w14:paraId="04DAC0EA" w14:textId="77777777" w:rsidR="00C62B4D" w:rsidRPr="00C62B4D" w:rsidRDefault="00C62B4D" w:rsidP="00C62B4D">
            <w:pPr>
              <w:numPr>
                <w:ilvl w:val="0"/>
                <w:numId w:val="23"/>
              </w:numPr>
              <w:suppressAutoHyphens/>
              <w:spacing w:before="60" w:after="60" w:line="240" w:lineRule="auto"/>
              <w:rPr>
                <w:rFonts w:ascii="Verdana" w:hAnsi="Verdana"/>
                <w:sz w:val="20"/>
              </w:rPr>
            </w:pPr>
            <w:r w:rsidRPr="00C62B4D">
              <w:rPr>
                <w:rFonts w:ascii="Verdana" w:hAnsi="Verdana"/>
                <w:sz w:val="20"/>
              </w:rPr>
              <w:t>trub to waste</w:t>
            </w:r>
          </w:p>
        </w:tc>
      </w:tr>
      <w:tr w:rsidR="00C62B4D" w14:paraId="6E60E7A8" w14:textId="77777777" w:rsidTr="0067693B">
        <w:tc>
          <w:tcPr>
            <w:tcW w:w="2972" w:type="dxa"/>
          </w:tcPr>
          <w:p w14:paraId="20CD8956" w14:textId="62BD2215"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 xml:space="preserve">Additives </w:t>
            </w:r>
          </w:p>
          <w:p w14:paraId="76F84B1B" w14:textId="5C2802CF" w:rsidR="00C62B4D" w:rsidRPr="00C62B4D" w:rsidRDefault="004F503D" w:rsidP="00C62B4D">
            <w:pPr>
              <w:numPr>
                <w:ilvl w:val="0"/>
                <w:numId w:val="18"/>
              </w:numPr>
              <w:suppressAutoHyphens/>
              <w:spacing w:before="60" w:after="60" w:line="240" w:lineRule="auto"/>
              <w:rPr>
                <w:rFonts w:ascii="Verdana" w:hAnsi="Verdana"/>
                <w:sz w:val="20"/>
              </w:rPr>
            </w:pPr>
            <w:r w:rsidRPr="00C62B4D">
              <w:rPr>
                <w:rFonts w:ascii="Verdana" w:hAnsi="Verdana"/>
                <w:sz w:val="20"/>
              </w:rPr>
              <w:t>Proc</w:t>
            </w:r>
            <w:r>
              <w:rPr>
                <w:rFonts w:ascii="Verdana" w:hAnsi="Verdana"/>
                <w:sz w:val="20"/>
              </w:rPr>
              <w:t>e</w:t>
            </w:r>
            <w:r w:rsidRPr="00C62B4D">
              <w:rPr>
                <w:rFonts w:ascii="Verdana" w:hAnsi="Verdana"/>
                <w:sz w:val="20"/>
              </w:rPr>
              <w:t>ssing</w:t>
            </w:r>
            <w:r w:rsidR="00C62B4D" w:rsidRPr="00C62B4D">
              <w:rPr>
                <w:rFonts w:ascii="Verdana" w:hAnsi="Verdana"/>
                <w:sz w:val="20"/>
              </w:rPr>
              <w:t xml:space="preserve"> aids</w:t>
            </w:r>
          </w:p>
          <w:p w14:paraId="2E664B3D" w14:textId="77777777"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Flavourings</w:t>
            </w:r>
          </w:p>
        </w:tc>
        <w:tc>
          <w:tcPr>
            <w:tcW w:w="2712" w:type="dxa"/>
          </w:tcPr>
          <w:p w14:paraId="25612387" w14:textId="19554F0F" w:rsidR="00C62B4D" w:rsidRPr="00C62B4D" w:rsidRDefault="00C62B4D" w:rsidP="0045398D">
            <w:pPr>
              <w:spacing w:before="60" w:after="60"/>
              <w:jc w:val="center"/>
              <w:rPr>
                <w:rFonts w:ascii="Verdana" w:hAnsi="Verdana"/>
                <w:sz w:val="20"/>
              </w:rPr>
            </w:pPr>
            <w:r w:rsidRPr="00C62B4D">
              <w:rPr>
                <w:rFonts w:ascii="Verdana" w:hAnsi="Verdana"/>
                <w:sz w:val="20"/>
              </w:rPr>
              <w:t>7.</w:t>
            </w:r>
          </w:p>
          <w:p w14:paraId="1A9CA6A5" w14:textId="231BF273" w:rsidR="00C62B4D" w:rsidRPr="00C62B4D" w:rsidRDefault="00A52F54" w:rsidP="0045398D">
            <w:pPr>
              <w:spacing w:before="60" w:after="60"/>
              <w:jc w:val="center"/>
              <w:rPr>
                <w:rFonts w:ascii="Verdana" w:hAnsi="Verdana"/>
                <w:sz w:val="20"/>
              </w:rPr>
            </w:pPr>
            <w:r w:rsidRPr="00A52F54">
              <w:rPr>
                <w:rFonts w:ascii="Verdana" w:hAnsi="Verdana"/>
                <w:sz w:val="20"/>
              </w:rPr>
              <w:t>Filtration, Centrifugation, Conditioning</w:t>
            </w:r>
          </w:p>
        </w:tc>
        <w:tc>
          <w:tcPr>
            <w:tcW w:w="2842" w:type="dxa"/>
          </w:tcPr>
          <w:p w14:paraId="06B1CF0D" w14:textId="77777777" w:rsidR="00C62B4D" w:rsidRPr="00C62B4D" w:rsidRDefault="00C62B4D" w:rsidP="00C62B4D">
            <w:pPr>
              <w:numPr>
                <w:ilvl w:val="0"/>
                <w:numId w:val="22"/>
              </w:numPr>
              <w:suppressAutoHyphens/>
              <w:spacing w:before="60" w:after="60" w:line="240" w:lineRule="auto"/>
              <w:rPr>
                <w:rFonts w:ascii="Verdana" w:hAnsi="Verdana"/>
                <w:sz w:val="20"/>
              </w:rPr>
            </w:pPr>
            <w:r w:rsidRPr="00C62B4D">
              <w:rPr>
                <w:rFonts w:ascii="Verdana" w:hAnsi="Verdana"/>
                <w:sz w:val="20"/>
              </w:rPr>
              <w:t>Trub to waste</w:t>
            </w:r>
          </w:p>
        </w:tc>
      </w:tr>
      <w:tr w:rsidR="00C62B4D" w14:paraId="58953E5D" w14:textId="77777777" w:rsidTr="0067693B">
        <w:tc>
          <w:tcPr>
            <w:tcW w:w="2972" w:type="dxa"/>
          </w:tcPr>
          <w:p w14:paraId="16A4123E" w14:textId="36CDB4FA" w:rsidR="00C62B4D" w:rsidRPr="00C62B4D" w:rsidRDefault="00993B69" w:rsidP="00C62B4D">
            <w:pPr>
              <w:numPr>
                <w:ilvl w:val="0"/>
                <w:numId w:val="20"/>
              </w:numPr>
              <w:suppressAutoHyphens/>
              <w:spacing w:before="60" w:after="60" w:line="240" w:lineRule="auto"/>
              <w:rPr>
                <w:rFonts w:ascii="Verdana" w:hAnsi="Verdana"/>
                <w:sz w:val="20"/>
              </w:rPr>
            </w:pPr>
            <w:r w:rsidRPr="00993B69">
              <w:rPr>
                <w:rFonts w:ascii="Verdana" w:hAnsi="Verdana"/>
                <w:sz w:val="20"/>
              </w:rPr>
              <w:t>Carbon dioxide</w:t>
            </w:r>
            <w:r w:rsidR="00D42523">
              <w:rPr>
                <w:rFonts w:ascii="Verdana" w:hAnsi="Verdana"/>
                <w:sz w:val="20"/>
              </w:rPr>
              <w:t xml:space="preserve"> (may be generated on-site)</w:t>
            </w:r>
          </w:p>
        </w:tc>
        <w:tc>
          <w:tcPr>
            <w:tcW w:w="2712" w:type="dxa"/>
          </w:tcPr>
          <w:p w14:paraId="2F5C91E4" w14:textId="50D3148E" w:rsidR="00C62B4D" w:rsidRPr="00C62B4D" w:rsidRDefault="00C62B4D" w:rsidP="0045398D">
            <w:pPr>
              <w:spacing w:before="60" w:after="60"/>
              <w:jc w:val="center"/>
              <w:rPr>
                <w:rFonts w:ascii="Verdana" w:hAnsi="Verdana"/>
                <w:sz w:val="20"/>
              </w:rPr>
            </w:pPr>
            <w:r w:rsidRPr="00C62B4D">
              <w:rPr>
                <w:rFonts w:ascii="Verdana" w:hAnsi="Verdana"/>
                <w:sz w:val="20"/>
              </w:rPr>
              <w:t>8.</w:t>
            </w:r>
          </w:p>
          <w:p w14:paraId="0D55A89B" w14:textId="0230F761" w:rsidR="00C62B4D" w:rsidRPr="00C62B4D" w:rsidRDefault="00C62B4D" w:rsidP="0045398D">
            <w:pPr>
              <w:spacing w:before="60" w:after="60"/>
              <w:jc w:val="center"/>
              <w:rPr>
                <w:rFonts w:ascii="Verdana" w:hAnsi="Verdana"/>
                <w:sz w:val="20"/>
              </w:rPr>
            </w:pPr>
            <w:r w:rsidRPr="00C62B4D">
              <w:rPr>
                <w:rFonts w:ascii="Verdana" w:hAnsi="Verdana"/>
                <w:sz w:val="20"/>
              </w:rPr>
              <w:t>Carbonat</w:t>
            </w:r>
            <w:r w:rsidR="005C55B8">
              <w:rPr>
                <w:rFonts w:ascii="Verdana" w:hAnsi="Verdana"/>
                <w:sz w:val="20"/>
              </w:rPr>
              <w:t>ion</w:t>
            </w:r>
          </w:p>
        </w:tc>
        <w:tc>
          <w:tcPr>
            <w:tcW w:w="2842" w:type="dxa"/>
          </w:tcPr>
          <w:p w14:paraId="2A31EE71" w14:textId="77777777" w:rsidR="00C62B4D" w:rsidRPr="00C62B4D" w:rsidRDefault="00C62B4D" w:rsidP="0045398D">
            <w:pPr>
              <w:spacing w:before="60" w:after="60"/>
              <w:rPr>
                <w:rFonts w:ascii="Verdana" w:hAnsi="Verdana"/>
                <w:sz w:val="20"/>
              </w:rPr>
            </w:pPr>
          </w:p>
        </w:tc>
      </w:tr>
      <w:tr w:rsidR="00C62B4D" w14:paraId="094135E1" w14:textId="77777777" w:rsidTr="0067693B">
        <w:tc>
          <w:tcPr>
            <w:tcW w:w="2972" w:type="dxa"/>
          </w:tcPr>
          <w:p w14:paraId="70866367" w14:textId="77777777" w:rsidR="00C62B4D" w:rsidRPr="00C62B4D" w:rsidRDefault="00C62B4D" w:rsidP="00C62B4D">
            <w:pPr>
              <w:numPr>
                <w:ilvl w:val="0"/>
                <w:numId w:val="20"/>
              </w:numPr>
              <w:suppressAutoHyphens/>
              <w:spacing w:before="60" w:after="60" w:line="240" w:lineRule="auto"/>
              <w:rPr>
                <w:rFonts w:ascii="Verdana" w:hAnsi="Verdana"/>
                <w:sz w:val="20"/>
              </w:rPr>
            </w:pPr>
            <w:r w:rsidRPr="00C62B4D">
              <w:rPr>
                <w:rFonts w:ascii="Verdana" w:hAnsi="Verdana"/>
                <w:sz w:val="20"/>
              </w:rPr>
              <w:t>Fining agent / filter</w:t>
            </w:r>
          </w:p>
          <w:p w14:paraId="6EA05CA7" w14:textId="77777777" w:rsidR="00C62B4D" w:rsidRPr="00C62B4D" w:rsidRDefault="00C62B4D" w:rsidP="00C62B4D">
            <w:pPr>
              <w:numPr>
                <w:ilvl w:val="0"/>
                <w:numId w:val="20"/>
              </w:numPr>
              <w:suppressAutoHyphens/>
              <w:spacing w:before="60" w:after="60" w:line="240" w:lineRule="auto"/>
              <w:rPr>
                <w:rFonts w:ascii="Verdana" w:hAnsi="Verdana"/>
                <w:sz w:val="20"/>
              </w:rPr>
            </w:pPr>
            <w:r w:rsidRPr="00C62B4D">
              <w:rPr>
                <w:rFonts w:ascii="Verdana" w:hAnsi="Verdana"/>
                <w:sz w:val="20"/>
              </w:rPr>
              <w:t>Packaging</w:t>
            </w:r>
          </w:p>
        </w:tc>
        <w:tc>
          <w:tcPr>
            <w:tcW w:w="2712" w:type="dxa"/>
          </w:tcPr>
          <w:p w14:paraId="190F64C9" w14:textId="14D963FD" w:rsidR="00C62B4D" w:rsidRPr="00C62B4D" w:rsidRDefault="00C62B4D" w:rsidP="0045398D">
            <w:pPr>
              <w:spacing w:before="60" w:after="60"/>
              <w:jc w:val="center"/>
              <w:rPr>
                <w:rFonts w:ascii="Verdana" w:hAnsi="Verdana"/>
                <w:sz w:val="20"/>
              </w:rPr>
            </w:pPr>
            <w:r w:rsidRPr="00C62B4D">
              <w:rPr>
                <w:rFonts w:ascii="Verdana" w:hAnsi="Verdana"/>
                <w:sz w:val="20"/>
              </w:rPr>
              <w:t>9.</w:t>
            </w:r>
          </w:p>
          <w:p w14:paraId="7E9A3F11" w14:textId="2B8EF04C" w:rsidR="00C62B4D" w:rsidRPr="00C62B4D" w:rsidRDefault="00C62B4D" w:rsidP="0045398D">
            <w:pPr>
              <w:spacing w:before="60" w:after="60"/>
              <w:jc w:val="center"/>
              <w:rPr>
                <w:rFonts w:ascii="Verdana" w:hAnsi="Verdana"/>
                <w:sz w:val="20"/>
              </w:rPr>
            </w:pPr>
            <w:r w:rsidRPr="00C62B4D">
              <w:rPr>
                <w:rFonts w:ascii="Verdana" w:hAnsi="Verdana"/>
                <w:sz w:val="20"/>
              </w:rPr>
              <w:t>Packaging</w:t>
            </w:r>
          </w:p>
        </w:tc>
        <w:tc>
          <w:tcPr>
            <w:tcW w:w="2842" w:type="dxa"/>
          </w:tcPr>
          <w:p w14:paraId="7E727D63" w14:textId="77777777" w:rsidR="00C62B4D" w:rsidRPr="00C62B4D" w:rsidRDefault="00C62B4D" w:rsidP="0045398D">
            <w:pPr>
              <w:spacing w:before="60" w:after="60"/>
              <w:rPr>
                <w:rFonts w:ascii="Verdana" w:hAnsi="Verdana"/>
                <w:sz w:val="20"/>
              </w:rPr>
            </w:pPr>
          </w:p>
        </w:tc>
      </w:tr>
      <w:tr w:rsidR="001B08C9" w14:paraId="6D979993" w14:textId="77777777" w:rsidTr="0067693B">
        <w:tc>
          <w:tcPr>
            <w:tcW w:w="2972" w:type="dxa"/>
          </w:tcPr>
          <w:p w14:paraId="75F13C97" w14:textId="77777777" w:rsidR="001B08C9" w:rsidRPr="00C62B4D" w:rsidRDefault="001B08C9" w:rsidP="0045398D">
            <w:pPr>
              <w:spacing w:before="60" w:after="60"/>
              <w:rPr>
                <w:rFonts w:ascii="Verdana" w:hAnsi="Verdana"/>
                <w:sz w:val="20"/>
              </w:rPr>
            </w:pPr>
          </w:p>
        </w:tc>
        <w:tc>
          <w:tcPr>
            <w:tcW w:w="2712" w:type="dxa"/>
          </w:tcPr>
          <w:p w14:paraId="42AE615E" w14:textId="259CBEA3" w:rsidR="001B08C9" w:rsidRPr="00C62B4D" w:rsidRDefault="00D42523" w:rsidP="0045398D">
            <w:pPr>
              <w:spacing w:before="60" w:after="60"/>
              <w:jc w:val="center"/>
              <w:rPr>
                <w:rFonts w:ascii="Verdana" w:hAnsi="Verdana"/>
                <w:sz w:val="20"/>
              </w:rPr>
            </w:pPr>
            <w:r>
              <w:rPr>
                <w:rFonts w:ascii="Verdana" w:hAnsi="Verdana"/>
                <w:noProof/>
                <w:sz w:val="20"/>
              </w:rPr>
              <mc:AlternateContent>
                <mc:Choice Requires="wps">
                  <w:drawing>
                    <wp:anchor distT="0" distB="0" distL="114300" distR="114300" simplePos="0" relativeHeight="251696128" behindDoc="0" locked="0" layoutInCell="1" allowOverlap="1" wp14:anchorId="2BCDEB06" wp14:editId="136A9E8B">
                      <wp:simplePos x="0" y="0"/>
                      <wp:positionH relativeFrom="column">
                        <wp:posOffset>76835</wp:posOffset>
                      </wp:positionH>
                      <wp:positionV relativeFrom="paragraph">
                        <wp:posOffset>-121920</wp:posOffset>
                      </wp:positionV>
                      <wp:extent cx="45719" cy="695325"/>
                      <wp:effectExtent l="95250" t="19050" r="69215" b="47625"/>
                      <wp:wrapNone/>
                      <wp:docPr id="22" name="Straight Arrow Connector 22"/>
                      <wp:cNvGraphicFramePr/>
                      <a:graphic xmlns:a="http://schemas.openxmlformats.org/drawingml/2006/main">
                        <a:graphicData uri="http://schemas.microsoft.com/office/word/2010/wordprocessingShape">
                          <wps:wsp>
                            <wps:cNvCnPr/>
                            <wps:spPr>
                              <a:xfrm flipH="1">
                                <a:off x="0" y="0"/>
                                <a:ext cx="45719" cy="695325"/>
                              </a:xfrm>
                              <a:prstGeom prst="straightConnector1">
                                <a:avLst/>
                              </a:prstGeom>
                              <a:ln w="28575" cap="flat" cmpd="sng" algn="ctr">
                                <a:solidFill>
                                  <a:srgbClr val="00B05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D1AA3" id="_x0000_t32" coordsize="21600,21600" o:spt="32" o:oned="t" path="m,l21600,21600e" filled="f">
                      <v:path arrowok="t" fillok="f" o:connecttype="none"/>
                      <o:lock v:ext="edit" shapetype="t"/>
                    </v:shapetype>
                    <v:shape id="Straight Arrow Connector 22" o:spid="_x0000_s1026" type="#_x0000_t32" style="position:absolute;margin-left:6.05pt;margin-top:-9.6pt;width:3.6pt;height:54.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" strokecolor="#00b050" strokeweight="2.25pt">
                      <v:stroke endarrow="open"/>
                    </v:shape>
                  </w:pict>
                </mc:Fallback>
              </mc:AlternateContent>
            </w:r>
            <w:r w:rsidR="00F67042">
              <w:rPr>
                <w:rFonts w:ascii="Verdana" w:hAnsi="Verdana"/>
                <w:noProof/>
                <w:sz w:val="20"/>
              </w:rPr>
              <mc:AlternateContent>
                <mc:Choice Requires="wps">
                  <w:drawing>
                    <wp:anchor distT="0" distB="0" distL="114300" distR="114300" simplePos="0" relativeHeight="251697152" behindDoc="0" locked="0" layoutInCell="1" allowOverlap="1" wp14:anchorId="292F835E" wp14:editId="3F43D442">
                      <wp:simplePos x="0" y="0"/>
                      <wp:positionH relativeFrom="column">
                        <wp:posOffset>1517650</wp:posOffset>
                      </wp:positionH>
                      <wp:positionV relativeFrom="paragraph">
                        <wp:posOffset>-169546</wp:posOffset>
                      </wp:positionV>
                      <wp:extent cx="9525" cy="695325"/>
                      <wp:effectExtent l="57150" t="38100" r="47625" b="9525"/>
                      <wp:wrapNone/>
                      <wp:docPr id="24" name="Straight Arrow Connector 24"/>
                      <wp:cNvGraphicFramePr/>
                      <a:graphic xmlns:a="http://schemas.openxmlformats.org/drawingml/2006/main">
                        <a:graphicData uri="http://schemas.microsoft.com/office/word/2010/wordprocessingShape">
                          <wps:wsp>
                            <wps:cNvCnPr/>
                            <wps:spPr>
                              <a:xfrm flipH="1" flipV="1">
                                <a:off x="0" y="0"/>
                                <a:ext cx="9525" cy="695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C434C" id="Straight Arrow Connector 24" o:spid="_x0000_s1026" type="#_x0000_t32" style="position:absolute;margin-left:119.5pt;margin-top:-13.35pt;width:.75pt;height:54.7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" strokecolor="red" strokeweight="2.25pt">
                      <v:stroke endarrow="block" joinstyle="miter"/>
                    </v:shape>
                  </w:pict>
                </mc:Fallback>
              </mc:AlternateContent>
            </w:r>
            <w:r w:rsidR="001B08C9">
              <w:rPr>
                <w:rFonts w:ascii="Verdana" w:hAnsi="Verdana"/>
                <w:sz w:val="20"/>
              </w:rPr>
              <w:t>10. Pasteurisation</w:t>
            </w:r>
            <w:proofErr w:type="gramStart"/>
            <w:r w:rsidR="00D607D7">
              <w:rPr>
                <w:rFonts w:ascii="Verdana" w:hAnsi="Verdana"/>
                <w:sz w:val="20"/>
              </w:rPr>
              <w:t xml:space="preserve"> </w:t>
            </w:r>
            <w:r w:rsidR="00F67042">
              <w:rPr>
                <w:rFonts w:ascii="Verdana" w:hAnsi="Verdana"/>
                <w:sz w:val="20"/>
              </w:rPr>
              <w:t xml:space="preserve">  </w:t>
            </w:r>
            <w:r w:rsidR="00D607D7">
              <w:rPr>
                <w:rFonts w:ascii="Verdana" w:hAnsi="Verdana"/>
                <w:sz w:val="20"/>
              </w:rPr>
              <w:t>(</w:t>
            </w:r>
            <w:proofErr w:type="gramEnd"/>
            <w:r w:rsidR="00D607D7">
              <w:rPr>
                <w:rFonts w:ascii="Verdana" w:hAnsi="Verdana"/>
                <w:sz w:val="20"/>
              </w:rPr>
              <w:t>optional)</w:t>
            </w:r>
            <w:r w:rsidR="00F67042">
              <w:rPr>
                <w:rFonts w:ascii="Verdana" w:hAnsi="Verdana"/>
                <w:noProof/>
                <w:sz w:val="20"/>
              </w:rPr>
              <w:t xml:space="preserve"> </w:t>
            </w:r>
          </w:p>
        </w:tc>
        <w:tc>
          <w:tcPr>
            <w:tcW w:w="2842" w:type="dxa"/>
          </w:tcPr>
          <w:p w14:paraId="36DA3E5F" w14:textId="77777777" w:rsidR="001B08C9" w:rsidRPr="00C62B4D" w:rsidRDefault="001B08C9" w:rsidP="0045398D">
            <w:pPr>
              <w:spacing w:before="60" w:after="60"/>
              <w:rPr>
                <w:rFonts w:ascii="Verdana" w:hAnsi="Verdana"/>
                <w:sz w:val="20"/>
              </w:rPr>
            </w:pPr>
          </w:p>
        </w:tc>
      </w:tr>
      <w:tr w:rsidR="00C62B4D" w14:paraId="287972C9" w14:textId="77777777" w:rsidTr="0067693B">
        <w:tc>
          <w:tcPr>
            <w:tcW w:w="2972" w:type="dxa"/>
          </w:tcPr>
          <w:p w14:paraId="25BCB668" w14:textId="5C76AFCA" w:rsidR="00C62B4D" w:rsidRPr="00C62B4D" w:rsidRDefault="00BC17D8" w:rsidP="00BC17D8">
            <w:pPr>
              <w:numPr>
                <w:ilvl w:val="0"/>
                <w:numId w:val="20"/>
              </w:numPr>
              <w:suppressAutoHyphens/>
              <w:spacing w:before="60" w:after="60" w:line="240" w:lineRule="auto"/>
              <w:rPr>
                <w:rFonts w:ascii="Verdana" w:hAnsi="Verdana"/>
                <w:sz w:val="20"/>
              </w:rPr>
            </w:pPr>
            <w:r>
              <w:rPr>
                <w:rFonts w:ascii="Verdana" w:hAnsi="Verdana"/>
                <w:sz w:val="20"/>
              </w:rPr>
              <w:t>Virgin / wine barrels</w:t>
            </w:r>
          </w:p>
        </w:tc>
        <w:tc>
          <w:tcPr>
            <w:tcW w:w="2712" w:type="dxa"/>
          </w:tcPr>
          <w:p w14:paraId="53AE7A10" w14:textId="21F7419C" w:rsidR="00C62B4D" w:rsidRPr="00C62B4D" w:rsidRDefault="00C62B4D" w:rsidP="0045398D">
            <w:pPr>
              <w:spacing w:before="60" w:after="60"/>
              <w:jc w:val="center"/>
              <w:rPr>
                <w:rFonts w:ascii="Verdana" w:hAnsi="Verdana"/>
                <w:sz w:val="20"/>
              </w:rPr>
            </w:pPr>
            <w:r w:rsidRPr="00C62B4D">
              <w:rPr>
                <w:rFonts w:ascii="Verdana" w:hAnsi="Verdana"/>
                <w:sz w:val="20"/>
              </w:rPr>
              <w:t>1</w:t>
            </w:r>
            <w:r w:rsidR="001B08C9">
              <w:rPr>
                <w:rFonts w:ascii="Verdana" w:hAnsi="Verdana"/>
                <w:sz w:val="20"/>
              </w:rPr>
              <w:t>1</w:t>
            </w:r>
            <w:r w:rsidRPr="00C62B4D">
              <w:rPr>
                <w:rFonts w:ascii="Verdana" w:hAnsi="Verdana"/>
                <w:sz w:val="20"/>
              </w:rPr>
              <w:t>.</w:t>
            </w:r>
          </w:p>
          <w:p w14:paraId="678DA02F" w14:textId="24142C79" w:rsidR="00C62B4D" w:rsidRPr="00C62B4D" w:rsidRDefault="00C62B4D" w:rsidP="0045398D">
            <w:pPr>
              <w:spacing w:before="60" w:after="60"/>
              <w:jc w:val="center"/>
              <w:rPr>
                <w:rFonts w:ascii="Verdana" w:hAnsi="Verdana"/>
                <w:sz w:val="20"/>
              </w:rPr>
            </w:pPr>
            <w:r w:rsidRPr="00C62B4D">
              <w:rPr>
                <w:rFonts w:ascii="Verdana" w:hAnsi="Verdana"/>
                <w:sz w:val="20"/>
              </w:rPr>
              <w:t>Stor</w:t>
            </w:r>
            <w:r w:rsidR="00791212">
              <w:rPr>
                <w:rFonts w:ascii="Verdana" w:hAnsi="Verdana"/>
                <w:sz w:val="20"/>
              </w:rPr>
              <w:t xml:space="preserve">age / </w:t>
            </w:r>
            <w:r w:rsidR="005E68EE">
              <w:rPr>
                <w:rFonts w:ascii="Verdana" w:hAnsi="Verdana"/>
                <w:sz w:val="20"/>
              </w:rPr>
              <w:t>Barrel A</w:t>
            </w:r>
            <w:r w:rsidR="00791212">
              <w:rPr>
                <w:rFonts w:ascii="Verdana" w:hAnsi="Verdana"/>
                <w:sz w:val="20"/>
              </w:rPr>
              <w:t>ging</w:t>
            </w:r>
          </w:p>
        </w:tc>
        <w:tc>
          <w:tcPr>
            <w:tcW w:w="2842" w:type="dxa"/>
          </w:tcPr>
          <w:p w14:paraId="3F472C40" w14:textId="77777777" w:rsidR="00C62B4D" w:rsidRPr="00C62B4D" w:rsidRDefault="00C62B4D" w:rsidP="0045398D">
            <w:pPr>
              <w:spacing w:before="60" w:after="60"/>
              <w:rPr>
                <w:rFonts w:ascii="Verdana" w:hAnsi="Verdana"/>
                <w:sz w:val="20"/>
              </w:rPr>
            </w:pPr>
          </w:p>
        </w:tc>
      </w:tr>
      <w:tr w:rsidR="00C62B4D" w14:paraId="7CE0B442" w14:textId="77777777" w:rsidTr="0067693B">
        <w:tc>
          <w:tcPr>
            <w:tcW w:w="2972" w:type="dxa"/>
          </w:tcPr>
          <w:p w14:paraId="56355333" w14:textId="77777777" w:rsidR="00C62B4D" w:rsidRPr="00C62B4D" w:rsidRDefault="00C62B4D" w:rsidP="0045398D">
            <w:pPr>
              <w:spacing w:before="60" w:after="60"/>
              <w:rPr>
                <w:rFonts w:ascii="Verdana" w:hAnsi="Verdana"/>
                <w:sz w:val="20"/>
              </w:rPr>
            </w:pPr>
          </w:p>
        </w:tc>
        <w:tc>
          <w:tcPr>
            <w:tcW w:w="2712" w:type="dxa"/>
          </w:tcPr>
          <w:p w14:paraId="56C59E9F" w14:textId="640D796D" w:rsidR="00C62B4D" w:rsidRPr="00C62B4D" w:rsidRDefault="00C62B4D" w:rsidP="0045398D">
            <w:pPr>
              <w:spacing w:before="60" w:after="60"/>
              <w:jc w:val="center"/>
              <w:rPr>
                <w:rFonts w:ascii="Verdana" w:hAnsi="Verdana"/>
                <w:sz w:val="20"/>
              </w:rPr>
            </w:pPr>
            <w:r w:rsidRPr="00C62B4D">
              <w:rPr>
                <w:rFonts w:ascii="Verdana" w:hAnsi="Verdana"/>
                <w:sz w:val="20"/>
              </w:rPr>
              <w:t>1</w:t>
            </w:r>
            <w:r w:rsidR="001B08C9">
              <w:rPr>
                <w:rFonts w:ascii="Verdana" w:hAnsi="Verdana"/>
                <w:sz w:val="20"/>
              </w:rPr>
              <w:t>2</w:t>
            </w:r>
            <w:r w:rsidRPr="00C62B4D">
              <w:rPr>
                <w:rFonts w:ascii="Verdana" w:hAnsi="Verdana"/>
                <w:sz w:val="20"/>
              </w:rPr>
              <w:t>.</w:t>
            </w:r>
          </w:p>
          <w:p w14:paraId="76632475" w14:textId="3C20AE8E" w:rsidR="00C62B4D" w:rsidRPr="00C62B4D" w:rsidRDefault="00C62B4D" w:rsidP="0045398D">
            <w:pPr>
              <w:spacing w:before="60" w:after="60"/>
              <w:jc w:val="center"/>
              <w:rPr>
                <w:rFonts w:ascii="Verdana" w:hAnsi="Verdana"/>
                <w:sz w:val="20"/>
              </w:rPr>
            </w:pPr>
            <w:r w:rsidRPr="00C62B4D">
              <w:rPr>
                <w:rFonts w:ascii="Verdana" w:hAnsi="Verdana"/>
                <w:sz w:val="20"/>
              </w:rPr>
              <w:t>Dispatch/Transport</w:t>
            </w:r>
          </w:p>
        </w:tc>
        <w:tc>
          <w:tcPr>
            <w:tcW w:w="2842" w:type="dxa"/>
          </w:tcPr>
          <w:p w14:paraId="547A8F85" w14:textId="77777777" w:rsidR="00C62B4D" w:rsidRPr="00C62B4D" w:rsidRDefault="00C62B4D" w:rsidP="0045398D">
            <w:pPr>
              <w:spacing w:before="60" w:after="60"/>
              <w:rPr>
                <w:rFonts w:ascii="Verdana" w:hAnsi="Verdana"/>
                <w:sz w:val="20"/>
              </w:rPr>
            </w:pPr>
            <w:r w:rsidRPr="00C62B4D">
              <w:rPr>
                <w:rFonts w:ascii="Verdana" w:hAnsi="Verdana"/>
                <w:sz w:val="20"/>
              </w:rPr>
              <w:t>- Packaged beer</w:t>
            </w:r>
          </w:p>
        </w:tc>
      </w:tr>
    </w:tbl>
    <w:p w14:paraId="13E246F9" w14:textId="0558172E" w:rsidR="0015704D" w:rsidRDefault="0015704D" w:rsidP="0015704D">
      <w:pPr>
        <w:rPr>
          <w:rFonts w:ascii="Verdana" w:hAnsi="Verdana"/>
          <w:sz w:val="20"/>
          <w:szCs w:val="20"/>
          <w:lang w:eastAsia="zh-CN"/>
        </w:rPr>
      </w:pPr>
    </w:p>
    <w:p w14:paraId="37E7DF22" w14:textId="42F25838" w:rsidR="004F503D" w:rsidRDefault="004F503D" w:rsidP="0015704D">
      <w:pPr>
        <w:rPr>
          <w:rFonts w:ascii="Verdana" w:hAnsi="Verdana"/>
          <w:sz w:val="20"/>
          <w:szCs w:val="20"/>
          <w:lang w:eastAsia="zh-CN"/>
        </w:rPr>
        <w:sectPr w:rsidR="004F503D" w:rsidSect="0015704D">
          <w:pgSz w:w="11906" w:h="16838"/>
          <w:pgMar w:top="1440" w:right="1440" w:bottom="1440" w:left="1440" w:header="708" w:footer="708" w:gutter="0"/>
          <w:cols w:space="708"/>
          <w:docGrid w:linePitch="360"/>
        </w:sectPr>
      </w:pPr>
    </w:p>
    <w:p w14:paraId="0EB21BEF" w14:textId="49B35A8C" w:rsidR="004F503D" w:rsidRPr="0015704D" w:rsidRDefault="004F503D" w:rsidP="003855A3">
      <w:pPr>
        <w:rPr>
          <w:rFonts w:ascii="Verdana" w:hAnsi="Verdana"/>
          <w:u w:val="single"/>
          <w:lang w:eastAsia="zh-CN"/>
        </w:rPr>
      </w:pPr>
      <w:r w:rsidRPr="0015704D">
        <w:rPr>
          <w:rFonts w:ascii="Verdana" w:hAnsi="Verdana"/>
          <w:lang w:eastAsia="zh-CN"/>
        </w:rPr>
        <w:lastRenderedPageBreak/>
        <w:t>6.1.</w:t>
      </w:r>
      <w:r>
        <w:rPr>
          <w:rFonts w:ascii="Verdana" w:hAnsi="Verdana"/>
          <w:lang w:eastAsia="zh-CN"/>
        </w:rPr>
        <w:t>4</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Hazard Analysis</w:t>
      </w:r>
      <w:r w:rsidRPr="0015704D">
        <w:rPr>
          <w:rFonts w:ascii="Verdana" w:hAnsi="Verdana"/>
          <w:u w:val="single"/>
          <w:lang w:eastAsia="zh-CN"/>
        </w:rPr>
        <w:t xml:space="preserve"> - Beer </w:t>
      </w:r>
    </w:p>
    <w:tbl>
      <w:tblPr>
        <w:tblStyle w:val="TableGrid"/>
        <w:tblW w:w="14029" w:type="dxa"/>
        <w:tblLook w:val="04A0" w:firstRow="1" w:lastRow="0" w:firstColumn="1" w:lastColumn="0" w:noHBand="0" w:noVBand="1"/>
      </w:tblPr>
      <w:tblGrid>
        <w:gridCol w:w="1838"/>
        <w:gridCol w:w="2410"/>
        <w:gridCol w:w="2410"/>
        <w:gridCol w:w="2835"/>
        <w:gridCol w:w="3543"/>
        <w:gridCol w:w="993"/>
      </w:tblGrid>
      <w:tr w:rsidR="004F503D" w14:paraId="02190277" w14:textId="0E3FB91A" w:rsidTr="00A52F54">
        <w:tc>
          <w:tcPr>
            <w:tcW w:w="1838" w:type="dxa"/>
            <w:shd w:val="clear" w:color="auto" w:fill="D9D9D9" w:themeFill="background1" w:themeFillShade="D9"/>
          </w:tcPr>
          <w:p w14:paraId="3BE99017" w14:textId="5522B3D3" w:rsidR="004F503D" w:rsidRPr="007E0E96" w:rsidRDefault="004F503D" w:rsidP="004F503D">
            <w:pPr>
              <w:rPr>
                <w:rFonts w:ascii="Verdana" w:hAnsi="Verdana"/>
                <w:b/>
                <w:bCs/>
                <w:sz w:val="20"/>
                <w:szCs w:val="20"/>
                <w:lang w:eastAsia="zh-CN"/>
              </w:rPr>
            </w:pPr>
            <w:r w:rsidRPr="007E0E96">
              <w:rPr>
                <w:rFonts w:ascii="Verdana" w:hAnsi="Verdana"/>
                <w:b/>
                <w:bCs/>
                <w:sz w:val="20"/>
                <w:szCs w:val="20"/>
              </w:rPr>
              <w:t>Process</w:t>
            </w:r>
          </w:p>
        </w:tc>
        <w:tc>
          <w:tcPr>
            <w:tcW w:w="2410" w:type="dxa"/>
            <w:shd w:val="clear" w:color="auto" w:fill="D9D9D9" w:themeFill="background1" w:themeFillShade="D9"/>
          </w:tcPr>
          <w:p w14:paraId="0A49A963" w14:textId="2F59967F" w:rsidR="004F503D" w:rsidRPr="007E0E96" w:rsidRDefault="004F503D" w:rsidP="004F503D">
            <w:pPr>
              <w:rPr>
                <w:rFonts w:ascii="Verdana" w:hAnsi="Verdana"/>
                <w:b/>
                <w:bCs/>
                <w:sz w:val="20"/>
                <w:szCs w:val="20"/>
                <w:lang w:eastAsia="zh-CN"/>
              </w:rPr>
            </w:pPr>
            <w:r w:rsidRPr="007E0E96">
              <w:rPr>
                <w:rFonts w:ascii="Verdana" w:hAnsi="Verdana"/>
                <w:b/>
                <w:bCs/>
                <w:sz w:val="20"/>
                <w:szCs w:val="20"/>
              </w:rPr>
              <w:t>Inputs</w:t>
            </w:r>
          </w:p>
        </w:tc>
        <w:tc>
          <w:tcPr>
            <w:tcW w:w="2410" w:type="dxa"/>
            <w:shd w:val="clear" w:color="auto" w:fill="D9D9D9" w:themeFill="background1" w:themeFillShade="D9"/>
          </w:tcPr>
          <w:p w14:paraId="46F3E513" w14:textId="1AEF4EBF" w:rsidR="004F503D" w:rsidRPr="007E0E96" w:rsidRDefault="004F503D" w:rsidP="004F503D">
            <w:pPr>
              <w:rPr>
                <w:rFonts w:ascii="Verdana" w:hAnsi="Verdana"/>
                <w:b/>
                <w:bCs/>
                <w:sz w:val="20"/>
                <w:szCs w:val="20"/>
                <w:lang w:eastAsia="zh-CN"/>
              </w:rPr>
            </w:pPr>
            <w:r w:rsidRPr="007E0E96">
              <w:rPr>
                <w:rFonts w:ascii="Verdana" w:hAnsi="Verdana"/>
                <w:b/>
                <w:bCs/>
                <w:sz w:val="20"/>
                <w:szCs w:val="20"/>
              </w:rPr>
              <w:t>Hazard reasonably likely to occur on or in the product at this step</w:t>
            </w:r>
          </w:p>
        </w:tc>
        <w:tc>
          <w:tcPr>
            <w:tcW w:w="2835" w:type="dxa"/>
            <w:shd w:val="clear" w:color="auto" w:fill="D9D9D9" w:themeFill="background1" w:themeFillShade="D9"/>
          </w:tcPr>
          <w:p w14:paraId="15A7E6E4" w14:textId="69ACA93C" w:rsidR="004F503D" w:rsidRPr="007E0E96" w:rsidRDefault="004F503D" w:rsidP="004F503D">
            <w:pPr>
              <w:rPr>
                <w:rFonts w:ascii="Verdana" w:hAnsi="Verdana"/>
                <w:b/>
                <w:bCs/>
                <w:sz w:val="20"/>
                <w:szCs w:val="20"/>
                <w:lang w:eastAsia="zh-CN"/>
              </w:rPr>
            </w:pPr>
            <w:r w:rsidRPr="007E0E96">
              <w:rPr>
                <w:rFonts w:ascii="Verdana" w:hAnsi="Verdana"/>
                <w:b/>
                <w:bCs/>
                <w:sz w:val="20"/>
                <w:szCs w:val="20"/>
              </w:rPr>
              <w:t>Justification</w:t>
            </w:r>
          </w:p>
        </w:tc>
        <w:tc>
          <w:tcPr>
            <w:tcW w:w="3543" w:type="dxa"/>
            <w:shd w:val="clear" w:color="auto" w:fill="D9D9D9" w:themeFill="background1" w:themeFillShade="D9"/>
          </w:tcPr>
          <w:p w14:paraId="65517C43" w14:textId="4B6BE422" w:rsidR="004F503D" w:rsidRPr="007E0E96" w:rsidRDefault="004F503D" w:rsidP="004F503D">
            <w:pPr>
              <w:rPr>
                <w:rFonts w:ascii="Verdana" w:hAnsi="Verdana"/>
                <w:b/>
                <w:bCs/>
                <w:sz w:val="20"/>
                <w:szCs w:val="20"/>
                <w:lang w:eastAsia="zh-CN"/>
              </w:rPr>
            </w:pPr>
            <w:r w:rsidRPr="007E0E96">
              <w:rPr>
                <w:rFonts w:ascii="Verdana" w:hAnsi="Verdana"/>
                <w:b/>
                <w:bCs/>
                <w:sz w:val="20"/>
                <w:szCs w:val="20"/>
              </w:rPr>
              <w:t>Q1. Is there a control measure(s) for the hazards at this step?</w:t>
            </w:r>
          </w:p>
        </w:tc>
        <w:tc>
          <w:tcPr>
            <w:tcW w:w="993" w:type="dxa"/>
            <w:shd w:val="clear" w:color="auto" w:fill="D9D9D9" w:themeFill="background1" w:themeFillShade="D9"/>
          </w:tcPr>
          <w:p w14:paraId="3DACC169" w14:textId="2CD59619" w:rsidR="004F503D" w:rsidRPr="007E0E96" w:rsidRDefault="004F503D" w:rsidP="004F503D">
            <w:pPr>
              <w:rPr>
                <w:rFonts w:ascii="Verdana" w:hAnsi="Verdana"/>
                <w:b/>
                <w:bCs/>
                <w:sz w:val="20"/>
                <w:szCs w:val="20"/>
                <w:lang w:eastAsia="zh-CN"/>
              </w:rPr>
            </w:pPr>
            <w:r w:rsidRPr="007E0E96">
              <w:rPr>
                <w:rFonts w:ascii="Verdana" w:hAnsi="Verdana"/>
                <w:b/>
                <w:bCs/>
                <w:sz w:val="20"/>
                <w:szCs w:val="20"/>
              </w:rPr>
              <w:t>Q2.  Is this step a CCP?</w:t>
            </w:r>
          </w:p>
        </w:tc>
      </w:tr>
      <w:tr w:rsidR="00763308" w14:paraId="579930AC" w14:textId="27849E01" w:rsidTr="00A52F54">
        <w:tc>
          <w:tcPr>
            <w:tcW w:w="1838" w:type="dxa"/>
          </w:tcPr>
          <w:p w14:paraId="148046D5" w14:textId="7660CD1C" w:rsidR="00763308" w:rsidRPr="007E0E96" w:rsidRDefault="00763308" w:rsidP="00763308">
            <w:pPr>
              <w:rPr>
                <w:rFonts w:ascii="Verdana" w:hAnsi="Verdana"/>
                <w:sz w:val="20"/>
                <w:szCs w:val="20"/>
              </w:rPr>
            </w:pPr>
            <w:r w:rsidRPr="007E0E96">
              <w:rPr>
                <w:rFonts w:ascii="Verdana" w:hAnsi="Verdana"/>
                <w:sz w:val="20"/>
                <w:szCs w:val="20"/>
              </w:rPr>
              <w:t>1. Purchasing</w:t>
            </w:r>
          </w:p>
        </w:tc>
        <w:tc>
          <w:tcPr>
            <w:tcW w:w="2410" w:type="dxa"/>
          </w:tcPr>
          <w:p w14:paraId="182A0451" w14:textId="7AA9A2E7" w:rsidR="00763308" w:rsidRPr="007E0E96" w:rsidRDefault="00763308" w:rsidP="00763308">
            <w:pPr>
              <w:rPr>
                <w:rFonts w:ascii="Verdana" w:hAnsi="Verdana"/>
                <w:sz w:val="20"/>
                <w:szCs w:val="20"/>
              </w:rPr>
            </w:pPr>
            <w:r w:rsidRPr="007E0E96">
              <w:rPr>
                <w:rFonts w:ascii="Verdana" w:hAnsi="Verdana"/>
                <w:sz w:val="20"/>
                <w:szCs w:val="20"/>
              </w:rPr>
              <w:t>All food and product contact raw materials</w:t>
            </w:r>
          </w:p>
        </w:tc>
        <w:tc>
          <w:tcPr>
            <w:tcW w:w="2410" w:type="dxa"/>
          </w:tcPr>
          <w:p w14:paraId="1EF464FB" w14:textId="58DB824F" w:rsidR="00763308" w:rsidRPr="007E0E96" w:rsidRDefault="00763308" w:rsidP="00763308">
            <w:pPr>
              <w:rPr>
                <w:rFonts w:ascii="Verdana" w:hAnsi="Verdana"/>
                <w:sz w:val="20"/>
                <w:szCs w:val="20"/>
              </w:rPr>
            </w:pPr>
            <w:r w:rsidRPr="007E0E96">
              <w:rPr>
                <w:rFonts w:ascii="Verdana" w:hAnsi="Verdana"/>
                <w:sz w:val="20"/>
                <w:szCs w:val="20"/>
              </w:rPr>
              <w:t>See Section 6.1.3</w:t>
            </w:r>
          </w:p>
        </w:tc>
        <w:tc>
          <w:tcPr>
            <w:tcW w:w="2835" w:type="dxa"/>
          </w:tcPr>
          <w:p w14:paraId="20D2A496" w14:textId="7822FD6B" w:rsidR="00763308" w:rsidRPr="007E0E96" w:rsidRDefault="00763308" w:rsidP="00763308">
            <w:pPr>
              <w:rPr>
                <w:rFonts w:ascii="Verdana" w:hAnsi="Verdana"/>
                <w:sz w:val="20"/>
                <w:szCs w:val="20"/>
              </w:rPr>
            </w:pPr>
            <w:r w:rsidRPr="007E0E96">
              <w:rPr>
                <w:rFonts w:ascii="Verdana" w:hAnsi="Verdana"/>
                <w:sz w:val="20"/>
                <w:szCs w:val="20"/>
              </w:rPr>
              <w:t>Hazard from raw materials not meeting regulatory requirements.</w:t>
            </w:r>
          </w:p>
        </w:tc>
        <w:tc>
          <w:tcPr>
            <w:tcW w:w="3543" w:type="dxa"/>
          </w:tcPr>
          <w:p w14:paraId="4C00D932" w14:textId="7160E136" w:rsidR="00763308" w:rsidRPr="007E0E96" w:rsidRDefault="00763308" w:rsidP="00763308">
            <w:pPr>
              <w:rPr>
                <w:rFonts w:ascii="Verdana" w:hAnsi="Verdana"/>
                <w:sz w:val="20"/>
                <w:szCs w:val="20"/>
              </w:rPr>
            </w:pPr>
            <w:r w:rsidRPr="007E0E96">
              <w:rPr>
                <w:rFonts w:ascii="Verdana" w:hAnsi="Verdana"/>
                <w:sz w:val="20"/>
                <w:szCs w:val="20"/>
              </w:rPr>
              <w:t>Yes – The Company operates an Approved Supplier Programme.</w:t>
            </w:r>
          </w:p>
        </w:tc>
        <w:tc>
          <w:tcPr>
            <w:tcW w:w="993" w:type="dxa"/>
          </w:tcPr>
          <w:p w14:paraId="25AE636F" w14:textId="2CACD1D3"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6AD704E9" w14:textId="2E294F59" w:rsidTr="00A52F54">
        <w:tc>
          <w:tcPr>
            <w:tcW w:w="1838" w:type="dxa"/>
          </w:tcPr>
          <w:p w14:paraId="2AED2AB3" w14:textId="7CFA5335" w:rsidR="00763308" w:rsidRPr="007E0E96" w:rsidRDefault="00763308" w:rsidP="00763308">
            <w:pPr>
              <w:rPr>
                <w:rFonts w:ascii="Verdana" w:hAnsi="Verdana"/>
                <w:sz w:val="20"/>
                <w:szCs w:val="20"/>
              </w:rPr>
            </w:pPr>
            <w:r w:rsidRPr="007E0E96">
              <w:rPr>
                <w:rFonts w:ascii="Verdana" w:hAnsi="Verdana"/>
                <w:sz w:val="20"/>
                <w:szCs w:val="20"/>
              </w:rPr>
              <w:t>2. Receiving</w:t>
            </w:r>
          </w:p>
        </w:tc>
        <w:tc>
          <w:tcPr>
            <w:tcW w:w="2410" w:type="dxa"/>
          </w:tcPr>
          <w:p w14:paraId="678BE44D" w14:textId="2A570401" w:rsidR="00763308" w:rsidRPr="007E0E96" w:rsidRDefault="00763308" w:rsidP="00763308">
            <w:pPr>
              <w:rPr>
                <w:rFonts w:ascii="Verdana" w:hAnsi="Verdana"/>
                <w:sz w:val="20"/>
                <w:szCs w:val="20"/>
              </w:rPr>
            </w:pPr>
            <w:r w:rsidRPr="007E0E96">
              <w:rPr>
                <w:rFonts w:ascii="Verdana" w:hAnsi="Verdana"/>
                <w:sz w:val="20"/>
                <w:szCs w:val="20"/>
              </w:rPr>
              <w:t>All food and product contact raw materials</w:t>
            </w:r>
          </w:p>
        </w:tc>
        <w:tc>
          <w:tcPr>
            <w:tcW w:w="2410" w:type="dxa"/>
          </w:tcPr>
          <w:p w14:paraId="7CC23E8D" w14:textId="674155A1" w:rsidR="00763308" w:rsidRPr="007E0E96" w:rsidRDefault="00763308" w:rsidP="00763308">
            <w:pPr>
              <w:rPr>
                <w:rFonts w:ascii="Verdana" w:hAnsi="Verdana"/>
                <w:sz w:val="20"/>
                <w:szCs w:val="20"/>
              </w:rPr>
            </w:pPr>
            <w:r w:rsidRPr="007E0E96">
              <w:rPr>
                <w:rFonts w:ascii="Verdana" w:hAnsi="Verdana"/>
                <w:sz w:val="20"/>
                <w:szCs w:val="20"/>
              </w:rPr>
              <w:t>B – Enteric pathogens</w:t>
            </w:r>
          </w:p>
        </w:tc>
        <w:tc>
          <w:tcPr>
            <w:tcW w:w="2835" w:type="dxa"/>
          </w:tcPr>
          <w:p w14:paraId="42E6AC98" w14:textId="67B6A654" w:rsidR="00763308" w:rsidRPr="007E0E96" w:rsidRDefault="00763308" w:rsidP="00763308">
            <w:pPr>
              <w:rPr>
                <w:rFonts w:ascii="Verdana" w:hAnsi="Verdana"/>
                <w:sz w:val="20"/>
                <w:szCs w:val="20"/>
              </w:rPr>
            </w:pPr>
            <w:r w:rsidRPr="007E0E96">
              <w:rPr>
                <w:rFonts w:ascii="Verdana" w:hAnsi="Verdana"/>
                <w:sz w:val="20"/>
                <w:szCs w:val="20"/>
              </w:rPr>
              <w:t>Refer to 6.1.2</w:t>
            </w:r>
          </w:p>
        </w:tc>
        <w:tc>
          <w:tcPr>
            <w:tcW w:w="3543" w:type="dxa"/>
          </w:tcPr>
          <w:p w14:paraId="26782959" w14:textId="0F8E1767" w:rsidR="00763308" w:rsidRPr="007E0E96" w:rsidRDefault="00763308" w:rsidP="00763308">
            <w:pPr>
              <w:rPr>
                <w:rFonts w:ascii="Verdana" w:hAnsi="Verdana"/>
                <w:sz w:val="20"/>
                <w:szCs w:val="20"/>
              </w:rPr>
            </w:pPr>
            <w:r w:rsidRPr="007E0E96">
              <w:rPr>
                <w:rFonts w:ascii="Verdana" w:hAnsi="Verdana"/>
                <w:sz w:val="20"/>
                <w:szCs w:val="20"/>
              </w:rPr>
              <w:t>N</w:t>
            </w:r>
            <w:r w:rsidR="00A2300E" w:rsidRPr="007E0E96">
              <w:rPr>
                <w:rFonts w:ascii="Verdana" w:hAnsi="Verdana"/>
                <w:sz w:val="20"/>
                <w:szCs w:val="20"/>
              </w:rPr>
              <w:t>ot applicable</w:t>
            </w:r>
          </w:p>
        </w:tc>
        <w:tc>
          <w:tcPr>
            <w:tcW w:w="993" w:type="dxa"/>
          </w:tcPr>
          <w:p w14:paraId="01D5E1C0" w14:textId="72794DE2"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473A2CAF" w14:textId="0542431E" w:rsidTr="00A52F54">
        <w:tc>
          <w:tcPr>
            <w:tcW w:w="1838" w:type="dxa"/>
          </w:tcPr>
          <w:p w14:paraId="55E446B8" w14:textId="32ADDA9A" w:rsidR="00763308" w:rsidRPr="007E0E96" w:rsidRDefault="00763308" w:rsidP="00763308">
            <w:pPr>
              <w:rPr>
                <w:rFonts w:ascii="Verdana" w:hAnsi="Verdana"/>
                <w:sz w:val="20"/>
                <w:szCs w:val="20"/>
              </w:rPr>
            </w:pPr>
            <w:r w:rsidRPr="007E0E96">
              <w:rPr>
                <w:rFonts w:ascii="Verdana" w:hAnsi="Verdana"/>
                <w:sz w:val="20"/>
                <w:szCs w:val="20"/>
              </w:rPr>
              <w:t>3. Storing</w:t>
            </w:r>
          </w:p>
        </w:tc>
        <w:tc>
          <w:tcPr>
            <w:tcW w:w="2410" w:type="dxa"/>
          </w:tcPr>
          <w:p w14:paraId="2C81E955" w14:textId="52A81764" w:rsidR="00763308" w:rsidRPr="007E0E96" w:rsidRDefault="00763308" w:rsidP="00763308">
            <w:pPr>
              <w:rPr>
                <w:rFonts w:ascii="Verdana" w:hAnsi="Verdana"/>
                <w:sz w:val="20"/>
                <w:szCs w:val="20"/>
              </w:rPr>
            </w:pPr>
            <w:r w:rsidRPr="007E0E96">
              <w:rPr>
                <w:rFonts w:ascii="Verdana" w:hAnsi="Verdana"/>
                <w:sz w:val="20"/>
                <w:szCs w:val="20"/>
              </w:rPr>
              <w:t>All food and product contact raw materials</w:t>
            </w:r>
          </w:p>
        </w:tc>
        <w:tc>
          <w:tcPr>
            <w:tcW w:w="2410" w:type="dxa"/>
          </w:tcPr>
          <w:p w14:paraId="0EE12671" w14:textId="1596422E" w:rsidR="00763308" w:rsidRPr="007E0E96" w:rsidRDefault="00763308" w:rsidP="00763308">
            <w:pPr>
              <w:rPr>
                <w:rFonts w:ascii="Verdana" w:hAnsi="Verdana"/>
                <w:sz w:val="20"/>
                <w:szCs w:val="20"/>
              </w:rPr>
            </w:pPr>
            <w:r w:rsidRPr="007E0E96">
              <w:rPr>
                <w:rFonts w:ascii="Verdana" w:hAnsi="Verdana"/>
                <w:sz w:val="20"/>
                <w:szCs w:val="20"/>
              </w:rPr>
              <w:t>B – Enteric pathogens</w:t>
            </w:r>
          </w:p>
        </w:tc>
        <w:tc>
          <w:tcPr>
            <w:tcW w:w="2835" w:type="dxa"/>
          </w:tcPr>
          <w:p w14:paraId="6E8C783E" w14:textId="19F89A41" w:rsidR="00763308" w:rsidRPr="007E0E96" w:rsidRDefault="00763308" w:rsidP="00763308">
            <w:pPr>
              <w:rPr>
                <w:rFonts w:ascii="Verdana" w:hAnsi="Verdana"/>
                <w:sz w:val="20"/>
                <w:szCs w:val="20"/>
              </w:rPr>
            </w:pPr>
            <w:r w:rsidRPr="007E0E96">
              <w:rPr>
                <w:rFonts w:ascii="Verdana" w:hAnsi="Verdana"/>
                <w:sz w:val="20"/>
                <w:szCs w:val="20"/>
              </w:rPr>
              <w:t>Hazards from poor storage methods and unclear environment.</w:t>
            </w:r>
          </w:p>
        </w:tc>
        <w:tc>
          <w:tcPr>
            <w:tcW w:w="3543" w:type="dxa"/>
          </w:tcPr>
          <w:p w14:paraId="1DEDCF66" w14:textId="736B02D5" w:rsidR="00763308" w:rsidRPr="007E0E96" w:rsidRDefault="00763308" w:rsidP="00763308">
            <w:pPr>
              <w:rPr>
                <w:rFonts w:ascii="Verdana" w:hAnsi="Verdana"/>
                <w:sz w:val="20"/>
                <w:szCs w:val="20"/>
              </w:rPr>
            </w:pPr>
            <w:r w:rsidRPr="007E0E96">
              <w:rPr>
                <w:rFonts w:ascii="Verdana" w:hAnsi="Verdana"/>
                <w:sz w:val="20"/>
                <w:szCs w:val="20"/>
              </w:rPr>
              <w:t xml:space="preserve">Yes – </w:t>
            </w:r>
            <w:r w:rsidR="00A52FA5">
              <w:rPr>
                <w:rFonts w:ascii="Verdana" w:hAnsi="Verdana"/>
                <w:sz w:val="20"/>
                <w:szCs w:val="20"/>
              </w:rPr>
              <w:t>refer</w:t>
            </w:r>
            <w:r w:rsidRPr="007E0E96">
              <w:rPr>
                <w:rFonts w:ascii="Verdana" w:hAnsi="Verdana"/>
                <w:sz w:val="20"/>
                <w:szCs w:val="20"/>
              </w:rPr>
              <w:t xml:space="preserve"> Section 2.2.2 Storage of Raw Materials.</w:t>
            </w:r>
          </w:p>
        </w:tc>
        <w:tc>
          <w:tcPr>
            <w:tcW w:w="993" w:type="dxa"/>
          </w:tcPr>
          <w:p w14:paraId="5A158A80" w14:textId="1CD46487"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3F7CFB60" w14:textId="076F2E9B" w:rsidTr="00A52F54">
        <w:tc>
          <w:tcPr>
            <w:tcW w:w="1838" w:type="dxa"/>
          </w:tcPr>
          <w:p w14:paraId="1DD10AFF" w14:textId="64E34A48" w:rsidR="00763308" w:rsidRPr="007E0E96" w:rsidRDefault="00763308" w:rsidP="00763308">
            <w:pPr>
              <w:rPr>
                <w:rFonts w:ascii="Verdana" w:hAnsi="Verdana"/>
                <w:sz w:val="20"/>
                <w:szCs w:val="20"/>
              </w:rPr>
            </w:pPr>
            <w:r w:rsidRPr="007E0E96">
              <w:rPr>
                <w:rFonts w:ascii="Verdana" w:hAnsi="Verdana"/>
                <w:sz w:val="20"/>
                <w:szCs w:val="20"/>
              </w:rPr>
              <w:t>4. Milling</w:t>
            </w:r>
          </w:p>
        </w:tc>
        <w:tc>
          <w:tcPr>
            <w:tcW w:w="2410" w:type="dxa"/>
          </w:tcPr>
          <w:p w14:paraId="3F36818D" w14:textId="7EA58DEF" w:rsidR="00763308" w:rsidRPr="007E0E96" w:rsidRDefault="00763308" w:rsidP="00763308">
            <w:pPr>
              <w:rPr>
                <w:rFonts w:ascii="Verdana" w:hAnsi="Verdana"/>
                <w:sz w:val="20"/>
                <w:szCs w:val="20"/>
              </w:rPr>
            </w:pPr>
            <w:r w:rsidRPr="007E0E96">
              <w:rPr>
                <w:rFonts w:ascii="Verdana" w:hAnsi="Verdana"/>
                <w:sz w:val="20"/>
                <w:szCs w:val="20"/>
              </w:rPr>
              <w:t>Grains</w:t>
            </w:r>
          </w:p>
        </w:tc>
        <w:tc>
          <w:tcPr>
            <w:tcW w:w="2410" w:type="dxa"/>
          </w:tcPr>
          <w:p w14:paraId="2914DCDC" w14:textId="30430B9A" w:rsidR="00763308" w:rsidRPr="007E0E96" w:rsidRDefault="00763308" w:rsidP="00763308">
            <w:pPr>
              <w:rPr>
                <w:rFonts w:ascii="Verdana" w:hAnsi="Verdana"/>
                <w:sz w:val="20"/>
                <w:szCs w:val="20"/>
              </w:rPr>
            </w:pPr>
            <w:r w:rsidRPr="007E0E96">
              <w:rPr>
                <w:rFonts w:ascii="Verdana" w:hAnsi="Verdana"/>
                <w:sz w:val="20"/>
                <w:szCs w:val="20"/>
              </w:rPr>
              <w:t>B – Enteric pathogens</w:t>
            </w:r>
          </w:p>
        </w:tc>
        <w:tc>
          <w:tcPr>
            <w:tcW w:w="2835" w:type="dxa"/>
          </w:tcPr>
          <w:p w14:paraId="10407A71" w14:textId="1720DD80" w:rsidR="00763308" w:rsidRPr="007E0E96" w:rsidRDefault="00763308" w:rsidP="00763308">
            <w:pPr>
              <w:rPr>
                <w:rFonts w:ascii="Verdana" w:hAnsi="Verdana"/>
                <w:sz w:val="20"/>
                <w:szCs w:val="20"/>
              </w:rPr>
            </w:pPr>
            <w:r w:rsidRPr="007E0E96">
              <w:rPr>
                <w:rFonts w:ascii="Verdana" w:hAnsi="Verdana"/>
                <w:sz w:val="20"/>
                <w:szCs w:val="20"/>
              </w:rPr>
              <w:t>Hazards carried from previous step</w:t>
            </w:r>
          </w:p>
        </w:tc>
        <w:tc>
          <w:tcPr>
            <w:tcW w:w="3543" w:type="dxa"/>
          </w:tcPr>
          <w:p w14:paraId="14A600E5" w14:textId="62DE4712" w:rsidR="00763308" w:rsidRPr="007E0E96" w:rsidRDefault="00763308" w:rsidP="00763308">
            <w:pPr>
              <w:rPr>
                <w:rFonts w:ascii="Verdana" w:hAnsi="Verdana"/>
                <w:sz w:val="20"/>
                <w:szCs w:val="20"/>
              </w:rPr>
            </w:pPr>
            <w:r w:rsidRPr="007E0E96">
              <w:rPr>
                <w:rFonts w:ascii="Verdana" w:hAnsi="Verdana"/>
                <w:sz w:val="20"/>
                <w:szCs w:val="20"/>
              </w:rPr>
              <w:t>None</w:t>
            </w:r>
          </w:p>
        </w:tc>
        <w:tc>
          <w:tcPr>
            <w:tcW w:w="993" w:type="dxa"/>
          </w:tcPr>
          <w:p w14:paraId="4F5B99E5" w14:textId="6E4A5AFB"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059D70E0" w14:textId="082BB8C4" w:rsidTr="00A52F54">
        <w:tc>
          <w:tcPr>
            <w:tcW w:w="1838" w:type="dxa"/>
          </w:tcPr>
          <w:p w14:paraId="38C475D5" w14:textId="496EDCAC" w:rsidR="00763308" w:rsidRPr="007E0E96" w:rsidRDefault="00763308" w:rsidP="00763308">
            <w:pPr>
              <w:rPr>
                <w:rFonts w:ascii="Verdana" w:hAnsi="Verdana"/>
                <w:sz w:val="20"/>
                <w:szCs w:val="20"/>
              </w:rPr>
            </w:pPr>
            <w:r w:rsidRPr="007E0E96">
              <w:rPr>
                <w:rFonts w:ascii="Verdana" w:hAnsi="Verdana"/>
                <w:sz w:val="20"/>
                <w:szCs w:val="20"/>
              </w:rPr>
              <w:t>5. Brewing</w:t>
            </w:r>
          </w:p>
        </w:tc>
        <w:tc>
          <w:tcPr>
            <w:tcW w:w="2410" w:type="dxa"/>
          </w:tcPr>
          <w:p w14:paraId="77C57730" w14:textId="0A1B298B" w:rsidR="00763308" w:rsidRPr="007E0E96" w:rsidRDefault="008661AE" w:rsidP="00763308">
            <w:pPr>
              <w:rPr>
                <w:rFonts w:ascii="Verdana" w:hAnsi="Verdana"/>
                <w:sz w:val="20"/>
                <w:szCs w:val="20"/>
              </w:rPr>
            </w:pPr>
            <w:r w:rsidRPr="007E0E96">
              <w:rPr>
                <w:rFonts w:ascii="Verdana" w:hAnsi="Verdana"/>
                <w:sz w:val="20"/>
                <w:szCs w:val="20"/>
              </w:rPr>
              <w:t xml:space="preserve">Grain, </w:t>
            </w:r>
            <w:r w:rsidR="00763308" w:rsidRPr="007E0E96">
              <w:rPr>
                <w:rFonts w:ascii="Verdana" w:hAnsi="Verdana"/>
                <w:sz w:val="20"/>
                <w:szCs w:val="20"/>
              </w:rPr>
              <w:t>Hops</w:t>
            </w:r>
            <w:r w:rsidRPr="007E0E96">
              <w:rPr>
                <w:rFonts w:ascii="Verdana" w:hAnsi="Verdana"/>
                <w:sz w:val="20"/>
                <w:szCs w:val="20"/>
              </w:rPr>
              <w:t xml:space="preserve">, </w:t>
            </w:r>
            <w:r w:rsidR="00763308" w:rsidRPr="007E0E96">
              <w:rPr>
                <w:rFonts w:ascii="Verdana" w:hAnsi="Verdana"/>
                <w:sz w:val="20"/>
                <w:szCs w:val="20"/>
              </w:rPr>
              <w:t>Water</w:t>
            </w:r>
          </w:p>
          <w:p w14:paraId="63E92BB1" w14:textId="7EB6F0A2" w:rsidR="00763308" w:rsidRPr="007E0E96" w:rsidRDefault="00763308" w:rsidP="00763308">
            <w:pPr>
              <w:rPr>
                <w:rFonts w:ascii="Verdana" w:hAnsi="Verdana"/>
                <w:sz w:val="20"/>
                <w:szCs w:val="20"/>
              </w:rPr>
            </w:pPr>
          </w:p>
        </w:tc>
        <w:tc>
          <w:tcPr>
            <w:tcW w:w="2410" w:type="dxa"/>
          </w:tcPr>
          <w:p w14:paraId="033E11CD" w14:textId="0E9D499E" w:rsidR="00763308" w:rsidRPr="007E0E96" w:rsidRDefault="00763308" w:rsidP="00763308">
            <w:pPr>
              <w:rPr>
                <w:rFonts w:ascii="Verdana" w:hAnsi="Verdana"/>
                <w:sz w:val="20"/>
                <w:szCs w:val="20"/>
              </w:rPr>
            </w:pPr>
            <w:r w:rsidRPr="007E0E96">
              <w:rPr>
                <w:rFonts w:ascii="Verdana" w:hAnsi="Verdana"/>
                <w:sz w:val="20"/>
                <w:szCs w:val="20"/>
              </w:rPr>
              <w:t>B – Enteric pathogens</w:t>
            </w:r>
          </w:p>
        </w:tc>
        <w:tc>
          <w:tcPr>
            <w:tcW w:w="2835" w:type="dxa"/>
          </w:tcPr>
          <w:p w14:paraId="7F3D998B" w14:textId="431DF28A" w:rsidR="00763308" w:rsidRPr="007E0E96" w:rsidRDefault="00763308" w:rsidP="00763308">
            <w:pPr>
              <w:rPr>
                <w:rFonts w:ascii="Verdana" w:hAnsi="Verdana"/>
                <w:sz w:val="20"/>
                <w:szCs w:val="20"/>
              </w:rPr>
            </w:pPr>
            <w:r w:rsidRPr="007E0E96">
              <w:rPr>
                <w:rFonts w:ascii="Verdana" w:hAnsi="Verdana"/>
                <w:sz w:val="20"/>
                <w:szCs w:val="20"/>
              </w:rPr>
              <w:t>Hazards carried from previous step</w:t>
            </w:r>
          </w:p>
        </w:tc>
        <w:tc>
          <w:tcPr>
            <w:tcW w:w="3543" w:type="dxa"/>
          </w:tcPr>
          <w:p w14:paraId="793872EA" w14:textId="49A05145" w:rsidR="00763308" w:rsidRPr="007E0E96" w:rsidRDefault="00763308" w:rsidP="00763308">
            <w:pPr>
              <w:rPr>
                <w:rFonts w:ascii="Verdana" w:hAnsi="Verdana"/>
                <w:sz w:val="20"/>
                <w:szCs w:val="20"/>
              </w:rPr>
            </w:pPr>
            <w:r w:rsidRPr="007E0E96">
              <w:rPr>
                <w:rFonts w:ascii="Verdana" w:hAnsi="Verdana"/>
                <w:sz w:val="20"/>
                <w:szCs w:val="20"/>
              </w:rPr>
              <w:t>Yes – Boiling of mix in kettle will eliminate vegetative pathogens.</w:t>
            </w:r>
          </w:p>
        </w:tc>
        <w:tc>
          <w:tcPr>
            <w:tcW w:w="993" w:type="dxa"/>
          </w:tcPr>
          <w:p w14:paraId="105BF120" w14:textId="20A5717A"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2C0529CF" w14:textId="285DB270" w:rsidTr="00A52F54">
        <w:tc>
          <w:tcPr>
            <w:tcW w:w="1838" w:type="dxa"/>
          </w:tcPr>
          <w:p w14:paraId="2E827B9A" w14:textId="7D227F8A" w:rsidR="00763308" w:rsidRPr="007E0E96" w:rsidRDefault="00763308" w:rsidP="00763308">
            <w:pPr>
              <w:rPr>
                <w:rFonts w:ascii="Verdana" w:hAnsi="Verdana"/>
                <w:sz w:val="20"/>
                <w:szCs w:val="20"/>
              </w:rPr>
            </w:pPr>
            <w:r w:rsidRPr="007E0E96">
              <w:rPr>
                <w:rFonts w:ascii="Verdana" w:hAnsi="Verdana"/>
                <w:sz w:val="20"/>
                <w:szCs w:val="20"/>
              </w:rPr>
              <w:t>6. Fermentation</w:t>
            </w:r>
          </w:p>
        </w:tc>
        <w:tc>
          <w:tcPr>
            <w:tcW w:w="2410" w:type="dxa"/>
          </w:tcPr>
          <w:p w14:paraId="5ECC9E35" w14:textId="39710C74" w:rsidR="00763308" w:rsidRPr="007E0E96" w:rsidRDefault="008661AE" w:rsidP="008661AE">
            <w:pPr>
              <w:rPr>
                <w:rFonts w:ascii="Verdana" w:hAnsi="Verdana"/>
                <w:sz w:val="20"/>
                <w:szCs w:val="20"/>
              </w:rPr>
            </w:pPr>
            <w:r w:rsidRPr="007E0E96">
              <w:rPr>
                <w:rFonts w:ascii="Verdana" w:hAnsi="Verdana"/>
                <w:sz w:val="20"/>
                <w:szCs w:val="20"/>
              </w:rPr>
              <w:t xml:space="preserve">Dry hops, yeast, nutrients, </w:t>
            </w:r>
            <w:r w:rsidR="00A52F54">
              <w:rPr>
                <w:rFonts w:ascii="Verdana" w:hAnsi="Verdana"/>
                <w:sz w:val="20"/>
                <w:szCs w:val="20"/>
              </w:rPr>
              <w:t>p</w:t>
            </w:r>
            <w:r w:rsidRPr="007E0E96">
              <w:rPr>
                <w:rFonts w:ascii="Verdana" w:hAnsi="Verdana"/>
                <w:sz w:val="20"/>
                <w:szCs w:val="20"/>
              </w:rPr>
              <w:t>rocessing aids</w:t>
            </w:r>
          </w:p>
        </w:tc>
        <w:tc>
          <w:tcPr>
            <w:tcW w:w="2410" w:type="dxa"/>
          </w:tcPr>
          <w:p w14:paraId="6ADE3A3B" w14:textId="6746BD1B" w:rsidR="00763308" w:rsidRPr="007E0E96" w:rsidRDefault="00152A89" w:rsidP="00763308">
            <w:pPr>
              <w:rPr>
                <w:rFonts w:ascii="Verdana" w:hAnsi="Verdana"/>
                <w:sz w:val="20"/>
                <w:szCs w:val="20"/>
              </w:rPr>
            </w:pPr>
            <w:r w:rsidRPr="007E0E96">
              <w:rPr>
                <w:rFonts w:ascii="Verdana" w:hAnsi="Verdana"/>
                <w:sz w:val="20"/>
                <w:szCs w:val="20"/>
              </w:rPr>
              <w:t>None</w:t>
            </w:r>
          </w:p>
        </w:tc>
        <w:tc>
          <w:tcPr>
            <w:tcW w:w="2835" w:type="dxa"/>
          </w:tcPr>
          <w:p w14:paraId="6A6CE79C" w14:textId="6BD0DC9F" w:rsidR="00763308" w:rsidRPr="007E0E96" w:rsidRDefault="008B020D" w:rsidP="00763308">
            <w:pPr>
              <w:rPr>
                <w:rFonts w:ascii="Verdana" w:hAnsi="Verdana"/>
                <w:sz w:val="20"/>
                <w:szCs w:val="20"/>
              </w:rPr>
            </w:pPr>
            <w:r w:rsidRPr="007E0E96">
              <w:rPr>
                <w:rFonts w:ascii="Verdana" w:hAnsi="Verdana"/>
                <w:sz w:val="20"/>
                <w:szCs w:val="20"/>
              </w:rPr>
              <w:t>None</w:t>
            </w:r>
          </w:p>
        </w:tc>
        <w:tc>
          <w:tcPr>
            <w:tcW w:w="3543" w:type="dxa"/>
          </w:tcPr>
          <w:p w14:paraId="6EFE4760" w14:textId="5C5564A2" w:rsidR="00763308" w:rsidRPr="007E0E96" w:rsidRDefault="00A2300E" w:rsidP="00763308">
            <w:pPr>
              <w:rPr>
                <w:rFonts w:ascii="Verdana" w:hAnsi="Verdana"/>
                <w:sz w:val="20"/>
                <w:szCs w:val="20"/>
              </w:rPr>
            </w:pPr>
            <w:r w:rsidRPr="007E0E96">
              <w:rPr>
                <w:rFonts w:ascii="Verdana" w:hAnsi="Verdana"/>
                <w:sz w:val="20"/>
                <w:szCs w:val="20"/>
              </w:rPr>
              <w:t>Not applicable</w:t>
            </w:r>
          </w:p>
        </w:tc>
        <w:tc>
          <w:tcPr>
            <w:tcW w:w="993" w:type="dxa"/>
          </w:tcPr>
          <w:p w14:paraId="2D93427D" w14:textId="3E6CBAB2" w:rsidR="00763308" w:rsidRPr="007E0E96" w:rsidRDefault="00763308" w:rsidP="00763308">
            <w:pPr>
              <w:rPr>
                <w:rFonts w:ascii="Verdana" w:hAnsi="Verdana"/>
                <w:sz w:val="20"/>
                <w:szCs w:val="20"/>
              </w:rPr>
            </w:pPr>
            <w:r w:rsidRPr="007E0E96">
              <w:rPr>
                <w:rFonts w:ascii="Verdana" w:hAnsi="Verdana"/>
                <w:sz w:val="20"/>
                <w:szCs w:val="20"/>
              </w:rPr>
              <w:t>No</w:t>
            </w:r>
          </w:p>
        </w:tc>
      </w:tr>
      <w:tr w:rsidR="00763308" w14:paraId="259CEF1A" w14:textId="056A7A0C" w:rsidTr="00A52F54">
        <w:trPr>
          <w:trHeight w:val="343"/>
        </w:trPr>
        <w:tc>
          <w:tcPr>
            <w:tcW w:w="1838" w:type="dxa"/>
          </w:tcPr>
          <w:p w14:paraId="5D21AE75" w14:textId="2917E6C2" w:rsidR="00763308" w:rsidRPr="007E0E96" w:rsidRDefault="00763308" w:rsidP="00763308">
            <w:pPr>
              <w:rPr>
                <w:rFonts w:ascii="Verdana" w:hAnsi="Verdana"/>
                <w:sz w:val="20"/>
                <w:szCs w:val="20"/>
              </w:rPr>
            </w:pPr>
            <w:r w:rsidRPr="007E0E96">
              <w:rPr>
                <w:rFonts w:ascii="Verdana" w:hAnsi="Verdana"/>
                <w:sz w:val="20"/>
                <w:szCs w:val="20"/>
              </w:rPr>
              <w:t xml:space="preserve">7. </w:t>
            </w:r>
            <w:r w:rsidR="00A52F54">
              <w:rPr>
                <w:rFonts w:ascii="Verdana" w:hAnsi="Verdana"/>
                <w:sz w:val="20"/>
                <w:szCs w:val="20"/>
              </w:rPr>
              <w:t xml:space="preserve">Filtration, </w:t>
            </w:r>
            <w:r w:rsidR="00A52F54" w:rsidRPr="00A52F54">
              <w:rPr>
                <w:rFonts w:ascii="Verdana" w:hAnsi="Verdana"/>
                <w:sz w:val="20"/>
                <w:szCs w:val="20"/>
              </w:rPr>
              <w:t>Centrifugation</w:t>
            </w:r>
            <w:r w:rsidR="00A52F54">
              <w:rPr>
                <w:rFonts w:ascii="Verdana" w:hAnsi="Verdana"/>
                <w:sz w:val="20"/>
                <w:szCs w:val="20"/>
              </w:rPr>
              <w:t>,</w:t>
            </w:r>
            <w:r w:rsidR="00A52F54" w:rsidRPr="00A52F54">
              <w:rPr>
                <w:rFonts w:ascii="Verdana" w:hAnsi="Verdana"/>
                <w:sz w:val="20"/>
                <w:szCs w:val="20"/>
              </w:rPr>
              <w:t xml:space="preserve"> </w:t>
            </w:r>
            <w:r w:rsidRPr="007E0E96">
              <w:rPr>
                <w:rFonts w:ascii="Verdana" w:hAnsi="Verdana"/>
                <w:sz w:val="20"/>
                <w:szCs w:val="20"/>
              </w:rPr>
              <w:t>Conditioning</w:t>
            </w:r>
          </w:p>
        </w:tc>
        <w:tc>
          <w:tcPr>
            <w:tcW w:w="2410" w:type="dxa"/>
          </w:tcPr>
          <w:p w14:paraId="702EAA8C" w14:textId="3078C1A9" w:rsidR="00763308" w:rsidRPr="007E0E96" w:rsidRDefault="008661AE" w:rsidP="00763308">
            <w:pPr>
              <w:rPr>
                <w:rFonts w:ascii="Verdana" w:hAnsi="Verdana"/>
                <w:sz w:val="20"/>
                <w:szCs w:val="20"/>
              </w:rPr>
            </w:pPr>
            <w:r w:rsidRPr="007E0E96">
              <w:rPr>
                <w:rFonts w:ascii="Verdana" w:hAnsi="Verdana"/>
                <w:sz w:val="20"/>
                <w:szCs w:val="20"/>
              </w:rPr>
              <w:t>F</w:t>
            </w:r>
            <w:r w:rsidR="00763308" w:rsidRPr="007E0E96">
              <w:rPr>
                <w:rFonts w:ascii="Verdana" w:hAnsi="Verdana"/>
                <w:sz w:val="20"/>
                <w:szCs w:val="20"/>
              </w:rPr>
              <w:t>ermented beer</w:t>
            </w:r>
          </w:p>
        </w:tc>
        <w:tc>
          <w:tcPr>
            <w:tcW w:w="2410" w:type="dxa"/>
          </w:tcPr>
          <w:p w14:paraId="4951BA37" w14:textId="6D1D6C3F" w:rsidR="00763308" w:rsidRPr="007E0E96" w:rsidRDefault="00763308" w:rsidP="00763308">
            <w:pPr>
              <w:rPr>
                <w:rFonts w:ascii="Verdana" w:hAnsi="Verdana"/>
                <w:sz w:val="20"/>
                <w:szCs w:val="20"/>
              </w:rPr>
            </w:pPr>
            <w:r w:rsidRPr="007E0E96">
              <w:rPr>
                <w:rFonts w:ascii="Verdana" w:hAnsi="Verdana"/>
                <w:sz w:val="20"/>
                <w:szCs w:val="20"/>
              </w:rPr>
              <w:t>None</w:t>
            </w:r>
          </w:p>
        </w:tc>
        <w:tc>
          <w:tcPr>
            <w:tcW w:w="2835" w:type="dxa"/>
          </w:tcPr>
          <w:p w14:paraId="5F61A579" w14:textId="27D25705" w:rsidR="00763308" w:rsidRPr="007E0E96" w:rsidRDefault="008B020D" w:rsidP="00763308">
            <w:pPr>
              <w:rPr>
                <w:rFonts w:ascii="Verdana" w:hAnsi="Verdana"/>
                <w:sz w:val="20"/>
                <w:szCs w:val="20"/>
              </w:rPr>
            </w:pPr>
            <w:r w:rsidRPr="007E0E96">
              <w:rPr>
                <w:rFonts w:ascii="Verdana" w:hAnsi="Verdana"/>
                <w:sz w:val="20"/>
                <w:szCs w:val="20"/>
              </w:rPr>
              <w:t>None</w:t>
            </w:r>
          </w:p>
        </w:tc>
        <w:tc>
          <w:tcPr>
            <w:tcW w:w="3543" w:type="dxa"/>
          </w:tcPr>
          <w:p w14:paraId="4015F676" w14:textId="20D61561" w:rsidR="00763308" w:rsidRPr="007E0E96" w:rsidRDefault="00A2300E" w:rsidP="00763308">
            <w:pPr>
              <w:rPr>
                <w:rFonts w:ascii="Verdana" w:hAnsi="Verdana"/>
                <w:sz w:val="20"/>
                <w:szCs w:val="20"/>
              </w:rPr>
            </w:pPr>
            <w:r w:rsidRPr="007E0E96">
              <w:rPr>
                <w:rFonts w:ascii="Verdana" w:hAnsi="Verdana"/>
                <w:sz w:val="20"/>
                <w:szCs w:val="20"/>
              </w:rPr>
              <w:t>Not applicable</w:t>
            </w:r>
          </w:p>
        </w:tc>
        <w:tc>
          <w:tcPr>
            <w:tcW w:w="993" w:type="dxa"/>
          </w:tcPr>
          <w:p w14:paraId="60D8E085" w14:textId="37438147" w:rsidR="00763308" w:rsidRPr="007E0E96" w:rsidRDefault="00763308" w:rsidP="00763308">
            <w:pPr>
              <w:rPr>
                <w:rFonts w:ascii="Verdana" w:hAnsi="Verdana"/>
                <w:sz w:val="20"/>
                <w:szCs w:val="20"/>
              </w:rPr>
            </w:pPr>
            <w:r w:rsidRPr="007E0E96">
              <w:rPr>
                <w:rFonts w:ascii="Verdana" w:hAnsi="Verdana"/>
                <w:sz w:val="20"/>
                <w:szCs w:val="20"/>
              </w:rPr>
              <w:t>No</w:t>
            </w:r>
          </w:p>
        </w:tc>
      </w:tr>
      <w:tr w:rsidR="007E0E96" w14:paraId="6A04BB38" w14:textId="77777777" w:rsidTr="00A52F54">
        <w:tc>
          <w:tcPr>
            <w:tcW w:w="1838" w:type="dxa"/>
          </w:tcPr>
          <w:p w14:paraId="5FB8587F" w14:textId="22DCF42F" w:rsidR="007E0E96" w:rsidRPr="007E0E96" w:rsidRDefault="007E0E96" w:rsidP="007E0E96">
            <w:pPr>
              <w:rPr>
                <w:rFonts w:ascii="Verdana" w:hAnsi="Verdana"/>
                <w:sz w:val="20"/>
                <w:szCs w:val="20"/>
              </w:rPr>
            </w:pPr>
            <w:r w:rsidRPr="007E0E96">
              <w:rPr>
                <w:rFonts w:ascii="Verdana" w:hAnsi="Verdana"/>
                <w:sz w:val="20"/>
                <w:szCs w:val="20"/>
              </w:rPr>
              <w:t>8. Carbonation</w:t>
            </w:r>
          </w:p>
        </w:tc>
        <w:tc>
          <w:tcPr>
            <w:tcW w:w="2410" w:type="dxa"/>
          </w:tcPr>
          <w:p w14:paraId="3E27FA32" w14:textId="55A61194" w:rsidR="007E0E96" w:rsidRPr="007E0E96" w:rsidRDefault="006C1D5D" w:rsidP="007E0E96">
            <w:pPr>
              <w:rPr>
                <w:rFonts w:ascii="Verdana" w:hAnsi="Verdana"/>
                <w:sz w:val="20"/>
                <w:szCs w:val="20"/>
              </w:rPr>
            </w:pPr>
            <w:r>
              <w:rPr>
                <w:rFonts w:ascii="Verdana" w:hAnsi="Verdana"/>
                <w:sz w:val="20"/>
                <w:szCs w:val="20"/>
              </w:rPr>
              <w:t>B</w:t>
            </w:r>
            <w:r w:rsidR="007E0E96" w:rsidRPr="007E0E96">
              <w:rPr>
                <w:rFonts w:ascii="Verdana" w:hAnsi="Verdana"/>
                <w:sz w:val="20"/>
                <w:szCs w:val="20"/>
              </w:rPr>
              <w:t>eer</w:t>
            </w:r>
            <w:r w:rsidR="0047178E">
              <w:rPr>
                <w:rFonts w:ascii="Verdana" w:hAnsi="Verdana"/>
                <w:sz w:val="20"/>
                <w:szCs w:val="20"/>
              </w:rPr>
              <w:t>, carbon dioxide</w:t>
            </w:r>
          </w:p>
        </w:tc>
        <w:tc>
          <w:tcPr>
            <w:tcW w:w="2410" w:type="dxa"/>
          </w:tcPr>
          <w:p w14:paraId="1EB625E2" w14:textId="566F2256" w:rsidR="007E0E96" w:rsidRPr="007E0E96" w:rsidRDefault="007E0E96" w:rsidP="007E0E96">
            <w:pPr>
              <w:rPr>
                <w:rFonts w:ascii="Verdana" w:hAnsi="Verdana"/>
                <w:sz w:val="20"/>
                <w:szCs w:val="20"/>
              </w:rPr>
            </w:pPr>
            <w:r w:rsidRPr="007E0E96">
              <w:rPr>
                <w:rFonts w:ascii="Verdana" w:hAnsi="Verdana"/>
                <w:sz w:val="20"/>
                <w:szCs w:val="20"/>
              </w:rPr>
              <w:t>None</w:t>
            </w:r>
          </w:p>
        </w:tc>
        <w:tc>
          <w:tcPr>
            <w:tcW w:w="2835" w:type="dxa"/>
          </w:tcPr>
          <w:p w14:paraId="4CD82126" w14:textId="00850F85" w:rsidR="007E0E96" w:rsidRPr="007E0E96" w:rsidRDefault="007E0E96" w:rsidP="007E0E96">
            <w:pPr>
              <w:rPr>
                <w:rFonts w:ascii="Verdana" w:hAnsi="Verdana"/>
                <w:sz w:val="20"/>
                <w:szCs w:val="20"/>
              </w:rPr>
            </w:pPr>
            <w:r w:rsidRPr="007E0E96">
              <w:rPr>
                <w:rFonts w:ascii="Verdana" w:hAnsi="Verdana"/>
                <w:sz w:val="20"/>
                <w:szCs w:val="20"/>
              </w:rPr>
              <w:t>None</w:t>
            </w:r>
          </w:p>
        </w:tc>
        <w:tc>
          <w:tcPr>
            <w:tcW w:w="3543" w:type="dxa"/>
          </w:tcPr>
          <w:p w14:paraId="1A7C84AD" w14:textId="0BB0FF5E" w:rsidR="007E0E96" w:rsidRPr="007E0E96" w:rsidRDefault="007E0E96" w:rsidP="007E0E96">
            <w:pPr>
              <w:rPr>
                <w:rFonts w:ascii="Verdana" w:hAnsi="Verdana"/>
                <w:sz w:val="20"/>
                <w:szCs w:val="20"/>
              </w:rPr>
            </w:pPr>
            <w:r w:rsidRPr="007E0E96">
              <w:rPr>
                <w:rFonts w:ascii="Verdana" w:hAnsi="Verdana"/>
                <w:sz w:val="20"/>
                <w:szCs w:val="20"/>
              </w:rPr>
              <w:t>Not applicable</w:t>
            </w:r>
          </w:p>
        </w:tc>
        <w:tc>
          <w:tcPr>
            <w:tcW w:w="993" w:type="dxa"/>
          </w:tcPr>
          <w:p w14:paraId="35FA9A78" w14:textId="20416669" w:rsidR="007E0E96" w:rsidRPr="007E0E96" w:rsidRDefault="007E0E96" w:rsidP="007E0E96">
            <w:pPr>
              <w:rPr>
                <w:rFonts w:ascii="Verdana" w:hAnsi="Verdana"/>
                <w:sz w:val="20"/>
                <w:szCs w:val="20"/>
              </w:rPr>
            </w:pPr>
            <w:r w:rsidRPr="007E0E96">
              <w:rPr>
                <w:rFonts w:ascii="Verdana" w:hAnsi="Verdana"/>
                <w:sz w:val="20"/>
                <w:szCs w:val="20"/>
              </w:rPr>
              <w:t>No</w:t>
            </w:r>
          </w:p>
        </w:tc>
      </w:tr>
      <w:tr w:rsidR="00763308" w14:paraId="44B5B138" w14:textId="7B2A3710" w:rsidTr="00A52F54">
        <w:tc>
          <w:tcPr>
            <w:tcW w:w="1838" w:type="dxa"/>
          </w:tcPr>
          <w:p w14:paraId="108D70F2" w14:textId="3E6DE457" w:rsidR="00763308" w:rsidRPr="007E0E96" w:rsidRDefault="007E0E96" w:rsidP="00763308">
            <w:pPr>
              <w:rPr>
                <w:rFonts w:ascii="Verdana" w:hAnsi="Verdana"/>
                <w:sz w:val="20"/>
                <w:szCs w:val="20"/>
              </w:rPr>
            </w:pPr>
            <w:r w:rsidRPr="007E0E96">
              <w:rPr>
                <w:rFonts w:ascii="Verdana" w:hAnsi="Verdana"/>
                <w:sz w:val="20"/>
                <w:szCs w:val="20"/>
              </w:rPr>
              <w:t>9</w:t>
            </w:r>
            <w:r w:rsidR="00763308" w:rsidRPr="007E0E96">
              <w:rPr>
                <w:rFonts w:ascii="Verdana" w:hAnsi="Verdana"/>
                <w:sz w:val="20"/>
                <w:szCs w:val="20"/>
              </w:rPr>
              <w:t>. Packaging</w:t>
            </w:r>
          </w:p>
        </w:tc>
        <w:tc>
          <w:tcPr>
            <w:tcW w:w="2410" w:type="dxa"/>
          </w:tcPr>
          <w:p w14:paraId="1D32A5BE" w14:textId="7A7ACF78" w:rsidR="00763308" w:rsidRPr="007E0E96" w:rsidRDefault="006C1D5D" w:rsidP="00763308">
            <w:pPr>
              <w:rPr>
                <w:rFonts w:ascii="Verdana" w:hAnsi="Verdana"/>
                <w:sz w:val="20"/>
                <w:szCs w:val="20"/>
              </w:rPr>
            </w:pPr>
            <w:r>
              <w:rPr>
                <w:rFonts w:ascii="Verdana" w:hAnsi="Verdana"/>
                <w:sz w:val="20"/>
                <w:szCs w:val="20"/>
              </w:rPr>
              <w:t>B</w:t>
            </w:r>
            <w:r w:rsidR="0047178E">
              <w:rPr>
                <w:rFonts w:ascii="Verdana" w:hAnsi="Verdana"/>
                <w:sz w:val="20"/>
                <w:szCs w:val="20"/>
              </w:rPr>
              <w:t>eer, g</w:t>
            </w:r>
            <w:r w:rsidR="00763308" w:rsidRPr="007E0E96">
              <w:rPr>
                <w:rFonts w:ascii="Verdana" w:hAnsi="Verdana"/>
                <w:sz w:val="20"/>
                <w:szCs w:val="20"/>
              </w:rPr>
              <w:t>lass bottles</w:t>
            </w:r>
            <w:r w:rsidR="008661AE" w:rsidRPr="007E0E96">
              <w:rPr>
                <w:rFonts w:ascii="Verdana" w:hAnsi="Verdana"/>
                <w:sz w:val="20"/>
                <w:szCs w:val="20"/>
              </w:rPr>
              <w:t>, cans, kegs</w:t>
            </w:r>
          </w:p>
        </w:tc>
        <w:tc>
          <w:tcPr>
            <w:tcW w:w="2410" w:type="dxa"/>
          </w:tcPr>
          <w:p w14:paraId="3B0D3BD9" w14:textId="7E552049" w:rsidR="00763308" w:rsidRPr="007E0E96" w:rsidRDefault="00763308" w:rsidP="00763308">
            <w:pPr>
              <w:rPr>
                <w:rFonts w:ascii="Verdana" w:hAnsi="Verdana"/>
                <w:sz w:val="20"/>
                <w:szCs w:val="20"/>
              </w:rPr>
            </w:pPr>
            <w:r w:rsidRPr="007E0E96">
              <w:rPr>
                <w:rFonts w:ascii="Verdana" w:hAnsi="Verdana"/>
                <w:sz w:val="20"/>
                <w:szCs w:val="20"/>
              </w:rPr>
              <w:t>P – Glass fragments</w:t>
            </w:r>
          </w:p>
        </w:tc>
        <w:tc>
          <w:tcPr>
            <w:tcW w:w="2835" w:type="dxa"/>
          </w:tcPr>
          <w:p w14:paraId="05BDB4CC" w14:textId="6A4CD6D0" w:rsidR="00763308" w:rsidRPr="007E0E96" w:rsidRDefault="00763308" w:rsidP="00763308">
            <w:pPr>
              <w:rPr>
                <w:rFonts w:ascii="Verdana" w:hAnsi="Verdana"/>
                <w:sz w:val="20"/>
                <w:szCs w:val="20"/>
              </w:rPr>
            </w:pPr>
            <w:r w:rsidRPr="007E0E96">
              <w:rPr>
                <w:rFonts w:ascii="Verdana" w:hAnsi="Verdana"/>
                <w:sz w:val="20"/>
                <w:szCs w:val="20"/>
              </w:rPr>
              <w:t>Incorrect filler operation can result in chipping</w:t>
            </w:r>
          </w:p>
        </w:tc>
        <w:tc>
          <w:tcPr>
            <w:tcW w:w="3543" w:type="dxa"/>
          </w:tcPr>
          <w:p w14:paraId="59CDBC17" w14:textId="06B1C65E" w:rsidR="00763308" w:rsidRPr="007E0E96" w:rsidRDefault="00763308" w:rsidP="00763308">
            <w:pPr>
              <w:rPr>
                <w:rFonts w:ascii="Verdana" w:hAnsi="Verdana"/>
                <w:sz w:val="20"/>
                <w:szCs w:val="20"/>
              </w:rPr>
            </w:pPr>
            <w:r w:rsidRPr="007E0E96">
              <w:rPr>
                <w:rFonts w:ascii="Verdana" w:hAnsi="Verdana"/>
                <w:sz w:val="20"/>
                <w:szCs w:val="20"/>
              </w:rPr>
              <w:t>Yes – correct equipment set-up</w:t>
            </w:r>
            <w:r w:rsidR="00CF3118">
              <w:rPr>
                <w:rFonts w:ascii="Verdana" w:hAnsi="Verdana"/>
                <w:sz w:val="20"/>
                <w:szCs w:val="20"/>
              </w:rPr>
              <w:t xml:space="preserve"> and</w:t>
            </w:r>
            <w:r w:rsidRPr="007E0E96">
              <w:rPr>
                <w:rFonts w:ascii="Verdana" w:hAnsi="Verdana"/>
                <w:sz w:val="20"/>
                <w:szCs w:val="20"/>
              </w:rPr>
              <w:t xml:space="preserve"> maintenance, routine observation during filling, filtration of any affected beer.</w:t>
            </w:r>
          </w:p>
        </w:tc>
        <w:tc>
          <w:tcPr>
            <w:tcW w:w="993" w:type="dxa"/>
          </w:tcPr>
          <w:p w14:paraId="1D8F5E78" w14:textId="4BD9F01F" w:rsidR="00763308" w:rsidRPr="007E0E96" w:rsidRDefault="00763308" w:rsidP="00763308">
            <w:pPr>
              <w:rPr>
                <w:rFonts w:ascii="Verdana" w:hAnsi="Verdana"/>
                <w:sz w:val="20"/>
                <w:szCs w:val="20"/>
              </w:rPr>
            </w:pPr>
            <w:r w:rsidRPr="007E0E96">
              <w:rPr>
                <w:rFonts w:ascii="Verdana" w:hAnsi="Verdana"/>
                <w:sz w:val="20"/>
                <w:szCs w:val="20"/>
              </w:rPr>
              <w:t>No</w:t>
            </w:r>
          </w:p>
        </w:tc>
      </w:tr>
      <w:tr w:rsidR="001B08C9" w14:paraId="2AAC62FD" w14:textId="77777777" w:rsidTr="00A52F54">
        <w:tc>
          <w:tcPr>
            <w:tcW w:w="1838" w:type="dxa"/>
          </w:tcPr>
          <w:p w14:paraId="03AC4C0E" w14:textId="73E23B56" w:rsidR="001B08C9" w:rsidRPr="007E0E96" w:rsidRDefault="001B08C9" w:rsidP="001B08C9">
            <w:pPr>
              <w:rPr>
                <w:rFonts w:ascii="Verdana" w:hAnsi="Verdana"/>
                <w:sz w:val="20"/>
                <w:szCs w:val="20"/>
              </w:rPr>
            </w:pPr>
            <w:r w:rsidRPr="007E0E96">
              <w:rPr>
                <w:rFonts w:ascii="Verdana" w:hAnsi="Verdana"/>
                <w:sz w:val="20"/>
                <w:szCs w:val="20"/>
              </w:rPr>
              <w:t xml:space="preserve">10. </w:t>
            </w:r>
            <w:r>
              <w:rPr>
                <w:rFonts w:ascii="Verdana" w:hAnsi="Verdana"/>
                <w:sz w:val="20"/>
                <w:szCs w:val="20"/>
              </w:rPr>
              <w:t>Pasteurisation</w:t>
            </w:r>
          </w:p>
        </w:tc>
        <w:tc>
          <w:tcPr>
            <w:tcW w:w="2410" w:type="dxa"/>
          </w:tcPr>
          <w:p w14:paraId="03EE559C" w14:textId="58C709D3" w:rsidR="001B08C9" w:rsidRPr="007E0E96" w:rsidRDefault="001B08C9" w:rsidP="001B08C9">
            <w:pPr>
              <w:rPr>
                <w:rFonts w:ascii="Verdana" w:hAnsi="Verdana"/>
                <w:sz w:val="20"/>
                <w:szCs w:val="20"/>
              </w:rPr>
            </w:pPr>
            <w:r w:rsidRPr="007E0E96">
              <w:rPr>
                <w:rFonts w:ascii="Verdana" w:hAnsi="Verdana"/>
                <w:sz w:val="20"/>
                <w:szCs w:val="20"/>
              </w:rPr>
              <w:t xml:space="preserve">Packaged </w:t>
            </w:r>
            <w:r>
              <w:rPr>
                <w:rFonts w:ascii="Verdana" w:hAnsi="Verdana"/>
                <w:sz w:val="20"/>
                <w:szCs w:val="20"/>
              </w:rPr>
              <w:t xml:space="preserve">(bottles / cans) </w:t>
            </w:r>
            <w:r w:rsidRPr="007E0E96">
              <w:rPr>
                <w:rFonts w:ascii="Verdana" w:hAnsi="Verdana"/>
                <w:sz w:val="20"/>
                <w:szCs w:val="20"/>
              </w:rPr>
              <w:t>beer</w:t>
            </w:r>
          </w:p>
        </w:tc>
        <w:tc>
          <w:tcPr>
            <w:tcW w:w="2410" w:type="dxa"/>
          </w:tcPr>
          <w:p w14:paraId="6956EEB4" w14:textId="48480631" w:rsidR="001B08C9" w:rsidRPr="007E0E96" w:rsidRDefault="001B08C9" w:rsidP="001B08C9">
            <w:pPr>
              <w:rPr>
                <w:rFonts w:ascii="Verdana" w:hAnsi="Verdana"/>
                <w:sz w:val="20"/>
                <w:szCs w:val="20"/>
              </w:rPr>
            </w:pPr>
            <w:r w:rsidRPr="007E0E96">
              <w:rPr>
                <w:rFonts w:ascii="Verdana" w:hAnsi="Verdana"/>
                <w:sz w:val="20"/>
                <w:szCs w:val="20"/>
              </w:rPr>
              <w:t>None</w:t>
            </w:r>
          </w:p>
        </w:tc>
        <w:tc>
          <w:tcPr>
            <w:tcW w:w="2835" w:type="dxa"/>
          </w:tcPr>
          <w:p w14:paraId="47104F99" w14:textId="0E22565A" w:rsidR="001B08C9" w:rsidRPr="007E0E96" w:rsidRDefault="001B08C9" w:rsidP="001B08C9">
            <w:pPr>
              <w:rPr>
                <w:rFonts w:ascii="Verdana" w:hAnsi="Verdana"/>
                <w:sz w:val="20"/>
                <w:szCs w:val="20"/>
              </w:rPr>
            </w:pPr>
            <w:r w:rsidRPr="007E0E96">
              <w:rPr>
                <w:rFonts w:ascii="Verdana" w:hAnsi="Verdana"/>
                <w:sz w:val="20"/>
                <w:szCs w:val="20"/>
              </w:rPr>
              <w:t>None</w:t>
            </w:r>
          </w:p>
        </w:tc>
        <w:tc>
          <w:tcPr>
            <w:tcW w:w="3543" w:type="dxa"/>
          </w:tcPr>
          <w:p w14:paraId="57CA831D" w14:textId="56577849" w:rsidR="001B08C9" w:rsidRPr="007E0E96" w:rsidRDefault="001B08C9" w:rsidP="001B08C9">
            <w:pPr>
              <w:rPr>
                <w:rFonts w:ascii="Verdana" w:hAnsi="Verdana"/>
                <w:sz w:val="20"/>
                <w:szCs w:val="20"/>
              </w:rPr>
            </w:pPr>
            <w:r w:rsidRPr="007E0E96">
              <w:rPr>
                <w:rFonts w:ascii="Verdana" w:hAnsi="Verdana"/>
                <w:sz w:val="20"/>
                <w:szCs w:val="20"/>
              </w:rPr>
              <w:t>Not applicable</w:t>
            </w:r>
          </w:p>
        </w:tc>
        <w:tc>
          <w:tcPr>
            <w:tcW w:w="993" w:type="dxa"/>
          </w:tcPr>
          <w:p w14:paraId="0F14C3E8" w14:textId="74AE6E32" w:rsidR="001B08C9" w:rsidRPr="007E0E96" w:rsidRDefault="001B08C9" w:rsidP="001B08C9">
            <w:pPr>
              <w:rPr>
                <w:rFonts w:ascii="Verdana" w:hAnsi="Verdana"/>
                <w:sz w:val="20"/>
                <w:szCs w:val="20"/>
              </w:rPr>
            </w:pPr>
            <w:r w:rsidRPr="007E0E96">
              <w:rPr>
                <w:rFonts w:ascii="Verdana" w:hAnsi="Verdana"/>
                <w:sz w:val="20"/>
                <w:szCs w:val="20"/>
              </w:rPr>
              <w:t>No</w:t>
            </w:r>
          </w:p>
        </w:tc>
      </w:tr>
      <w:tr w:rsidR="00A2300E" w14:paraId="6C4438B7" w14:textId="2027EC99" w:rsidTr="00A52F54">
        <w:tc>
          <w:tcPr>
            <w:tcW w:w="1838" w:type="dxa"/>
          </w:tcPr>
          <w:p w14:paraId="095C9CA5" w14:textId="34FAEBE2" w:rsidR="00A2300E" w:rsidRPr="007E0E96" w:rsidRDefault="007E0E96" w:rsidP="00A2300E">
            <w:pPr>
              <w:rPr>
                <w:rFonts w:ascii="Verdana" w:hAnsi="Verdana"/>
                <w:sz w:val="20"/>
                <w:szCs w:val="20"/>
              </w:rPr>
            </w:pPr>
            <w:r w:rsidRPr="007E0E96">
              <w:rPr>
                <w:rFonts w:ascii="Verdana" w:hAnsi="Verdana"/>
                <w:sz w:val="20"/>
                <w:szCs w:val="20"/>
              </w:rPr>
              <w:t>1</w:t>
            </w:r>
            <w:r w:rsidR="001B08C9">
              <w:rPr>
                <w:rFonts w:ascii="Verdana" w:hAnsi="Verdana"/>
                <w:sz w:val="20"/>
                <w:szCs w:val="20"/>
              </w:rPr>
              <w:t>1</w:t>
            </w:r>
            <w:r w:rsidR="00A2300E" w:rsidRPr="007E0E96">
              <w:rPr>
                <w:rFonts w:ascii="Verdana" w:hAnsi="Verdana"/>
                <w:sz w:val="20"/>
                <w:szCs w:val="20"/>
              </w:rPr>
              <w:t>. Stor</w:t>
            </w:r>
            <w:r w:rsidR="00791212">
              <w:rPr>
                <w:rFonts w:ascii="Verdana" w:hAnsi="Verdana"/>
                <w:sz w:val="20"/>
                <w:szCs w:val="20"/>
              </w:rPr>
              <w:t>age</w:t>
            </w:r>
            <w:r w:rsidR="00B65EF8">
              <w:rPr>
                <w:rFonts w:ascii="Verdana" w:hAnsi="Verdana"/>
                <w:sz w:val="20"/>
                <w:szCs w:val="20"/>
              </w:rPr>
              <w:t xml:space="preserve"> / </w:t>
            </w:r>
            <w:r w:rsidR="005E68EE">
              <w:rPr>
                <w:rFonts w:ascii="Verdana" w:hAnsi="Verdana"/>
                <w:sz w:val="20"/>
                <w:szCs w:val="20"/>
              </w:rPr>
              <w:t xml:space="preserve">Barrel </w:t>
            </w:r>
            <w:r w:rsidR="00B65EF8">
              <w:rPr>
                <w:rFonts w:ascii="Verdana" w:hAnsi="Verdana"/>
                <w:sz w:val="20"/>
                <w:szCs w:val="20"/>
              </w:rPr>
              <w:t>Aging</w:t>
            </w:r>
          </w:p>
        </w:tc>
        <w:tc>
          <w:tcPr>
            <w:tcW w:w="2410" w:type="dxa"/>
          </w:tcPr>
          <w:p w14:paraId="40F21D9D" w14:textId="6AF6E020" w:rsidR="00A2300E" w:rsidRPr="007E0E96" w:rsidRDefault="00A2300E" w:rsidP="00A2300E">
            <w:pPr>
              <w:rPr>
                <w:rFonts w:ascii="Verdana" w:hAnsi="Verdana"/>
                <w:sz w:val="20"/>
                <w:szCs w:val="20"/>
              </w:rPr>
            </w:pPr>
            <w:r w:rsidRPr="007E0E96">
              <w:rPr>
                <w:rFonts w:ascii="Verdana" w:hAnsi="Verdana"/>
                <w:sz w:val="20"/>
                <w:szCs w:val="20"/>
              </w:rPr>
              <w:t>Packaged beer</w:t>
            </w:r>
          </w:p>
        </w:tc>
        <w:tc>
          <w:tcPr>
            <w:tcW w:w="2410" w:type="dxa"/>
          </w:tcPr>
          <w:p w14:paraId="2366E84E" w14:textId="7E5AD3E9" w:rsidR="00A2300E" w:rsidRPr="007E0E96" w:rsidRDefault="00A2300E" w:rsidP="00A2300E">
            <w:pPr>
              <w:rPr>
                <w:rFonts w:ascii="Verdana" w:hAnsi="Verdana"/>
                <w:sz w:val="20"/>
                <w:szCs w:val="20"/>
              </w:rPr>
            </w:pPr>
            <w:r w:rsidRPr="007E0E96">
              <w:rPr>
                <w:rFonts w:ascii="Verdana" w:hAnsi="Verdana"/>
                <w:sz w:val="20"/>
                <w:szCs w:val="20"/>
              </w:rPr>
              <w:t>None</w:t>
            </w:r>
          </w:p>
        </w:tc>
        <w:tc>
          <w:tcPr>
            <w:tcW w:w="2835" w:type="dxa"/>
          </w:tcPr>
          <w:p w14:paraId="3DEAAAC3" w14:textId="08A493CD" w:rsidR="00A2300E" w:rsidRPr="007E0E96" w:rsidRDefault="00A2300E" w:rsidP="00A2300E">
            <w:pPr>
              <w:rPr>
                <w:rFonts w:ascii="Verdana" w:hAnsi="Verdana"/>
                <w:sz w:val="20"/>
                <w:szCs w:val="20"/>
              </w:rPr>
            </w:pPr>
            <w:r w:rsidRPr="007E0E96">
              <w:rPr>
                <w:rFonts w:ascii="Verdana" w:hAnsi="Verdana"/>
                <w:sz w:val="20"/>
                <w:szCs w:val="20"/>
              </w:rPr>
              <w:t>None</w:t>
            </w:r>
          </w:p>
        </w:tc>
        <w:tc>
          <w:tcPr>
            <w:tcW w:w="3543" w:type="dxa"/>
          </w:tcPr>
          <w:p w14:paraId="6EA5DE0B" w14:textId="2CC6CCA8" w:rsidR="00A2300E" w:rsidRPr="007E0E96" w:rsidRDefault="00A2300E" w:rsidP="00A2300E">
            <w:pPr>
              <w:rPr>
                <w:rFonts w:ascii="Verdana" w:hAnsi="Verdana"/>
                <w:sz w:val="20"/>
                <w:szCs w:val="20"/>
              </w:rPr>
            </w:pPr>
            <w:r w:rsidRPr="007E0E96">
              <w:rPr>
                <w:rFonts w:ascii="Verdana" w:hAnsi="Verdana"/>
                <w:sz w:val="20"/>
                <w:szCs w:val="20"/>
              </w:rPr>
              <w:t>Not applicable</w:t>
            </w:r>
          </w:p>
        </w:tc>
        <w:tc>
          <w:tcPr>
            <w:tcW w:w="993" w:type="dxa"/>
          </w:tcPr>
          <w:p w14:paraId="36AC7C9A" w14:textId="61600797" w:rsidR="00A2300E" w:rsidRPr="007E0E96" w:rsidRDefault="00A2300E" w:rsidP="00A2300E">
            <w:pPr>
              <w:rPr>
                <w:rFonts w:ascii="Verdana" w:hAnsi="Verdana"/>
                <w:sz w:val="20"/>
                <w:szCs w:val="20"/>
              </w:rPr>
            </w:pPr>
            <w:r w:rsidRPr="007E0E96">
              <w:rPr>
                <w:rFonts w:ascii="Verdana" w:hAnsi="Verdana"/>
                <w:sz w:val="20"/>
                <w:szCs w:val="20"/>
              </w:rPr>
              <w:t>No</w:t>
            </w:r>
          </w:p>
        </w:tc>
      </w:tr>
      <w:tr w:rsidR="00A2300E" w14:paraId="44DADB58" w14:textId="123503AE" w:rsidTr="00A52F54">
        <w:tc>
          <w:tcPr>
            <w:tcW w:w="1838" w:type="dxa"/>
          </w:tcPr>
          <w:p w14:paraId="1040B3E7" w14:textId="1F25CB47" w:rsidR="00A2300E" w:rsidRPr="007E0E96" w:rsidRDefault="00A2300E" w:rsidP="00A2300E">
            <w:pPr>
              <w:rPr>
                <w:rFonts w:ascii="Verdana" w:hAnsi="Verdana"/>
                <w:sz w:val="20"/>
                <w:szCs w:val="20"/>
              </w:rPr>
            </w:pPr>
            <w:r w:rsidRPr="007E0E96">
              <w:rPr>
                <w:rFonts w:ascii="Verdana" w:hAnsi="Verdana"/>
                <w:sz w:val="20"/>
                <w:szCs w:val="20"/>
              </w:rPr>
              <w:t>1</w:t>
            </w:r>
            <w:r w:rsidR="001B08C9">
              <w:rPr>
                <w:rFonts w:ascii="Verdana" w:hAnsi="Verdana"/>
                <w:sz w:val="20"/>
                <w:szCs w:val="20"/>
              </w:rPr>
              <w:t>2</w:t>
            </w:r>
            <w:r w:rsidRPr="007E0E96">
              <w:rPr>
                <w:rFonts w:ascii="Verdana" w:hAnsi="Verdana"/>
                <w:sz w:val="20"/>
                <w:szCs w:val="20"/>
              </w:rPr>
              <w:t>. Dispatch and Transport</w:t>
            </w:r>
          </w:p>
        </w:tc>
        <w:tc>
          <w:tcPr>
            <w:tcW w:w="2410" w:type="dxa"/>
          </w:tcPr>
          <w:p w14:paraId="1D425C4B" w14:textId="452BCCD0" w:rsidR="00A2300E" w:rsidRPr="007E0E96" w:rsidRDefault="00A2300E" w:rsidP="00A2300E">
            <w:pPr>
              <w:rPr>
                <w:rFonts w:ascii="Verdana" w:hAnsi="Verdana"/>
                <w:sz w:val="20"/>
                <w:szCs w:val="20"/>
              </w:rPr>
            </w:pPr>
            <w:r w:rsidRPr="007E0E96">
              <w:rPr>
                <w:rFonts w:ascii="Verdana" w:hAnsi="Verdana"/>
                <w:sz w:val="20"/>
                <w:szCs w:val="20"/>
              </w:rPr>
              <w:t>Packaged beer</w:t>
            </w:r>
          </w:p>
        </w:tc>
        <w:tc>
          <w:tcPr>
            <w:tcW w:w="2410" w:type="dxa"/>
          </w:tcPr>
          <w:p w14:paraId="15DB65A4" w14:textId="3C5D2380" w:rsidR="00A2300E" w:rsidRPr="007E0E96" w:rsidRDefault="00A2300E" w:rsidP="00A2300E">
            <w:pPr>
              <w:rPr>
                <w:rFonts w:ascii="Verdana" w:hAnsi="Verdana"/>
                <w:sz w:val="20"/>
                <w:szCs w:val="20"/>
              </w:rPr>
            </w:pPr>
            <w:r w:rsidRPr="007E0E96">
              <w:rPr>
                <w:rFonts w:ascii="Verdana" w:hAnsi="Verdana"/>
                <w:sz w:val="20"/>
                <w:szCs w:val="20"/>
              </w:rPr>
              <w:t>None</w:t>
            </w:r>
          </w:p>
        </w:tc>
        <w:tc>
          <w:tcPr>
            <w:tcW w:w="2835" w:type="dxa"/>
          </w:tcPr>
          <w:p w14:paraId="1CD7077E" w14:textId="61A610D0" w:rsidR="00A2300E" w:rsidRPr="007E0E96" w:rsidRDefault="00A2300E" w:rsidP="00A2300E">
            <w:pPr>
              <w:rPr>
                <w:rFonts w:ascii="Verdana" w:hAnsi="Verdana"/>
                <w:sz w:val="20"/>
                <w:szCs w:val="20"/>
              </w:rPr>
            </w:pPr>
            <w:r w:rsidRPr="007E0E96">
              <w:rPr>
                <w:rFonts w:ascii="Verdana" w:hAnsi="Verdana"/>
                <w:sz w:val="20"/>
                <w:szCs w:val="20"/>
              </w:rPr>
              <w:t>None</w:t>
            </w:r>
          </w:p>
        </w:tc>
        <w:tc>
          <w:tcPr>
            <w:tcW w:w="3543" w:type="dxa"/>
          </w:tcPr>
          <w:p w14:paraId="0047281F" w14:textId="3ADFD5DA" w:rsidR="00A2300E" w:rsidRPr="007E0E96" w:rsidRDefault="00A2300E" w:rsidP="00A2300E">
            <w:pPr>
              <w:rPr>
                <w:rFonts w:ascii="Verdana" w:hAnsi="Verdana"/>
                <w:sz w:val="20"/>
                <w:szCs w:val="20"/>
              </w:rPr>
            </w:pPr>
            <w:r w:rsidRPr="007E0E96">
              <w:rPr>
                <w:rFonts w:ascii="Verdana" w:hAnsi="Verdana"/>
                <w:sz w:val="20"/>
                <w:szCs w:val="20"/>
              </w:rPr>
              <w:t>Not applicable</w:t>
            </w:r>
          </w:p>
        </w:tc>
        <w:tc>
          <w:tcPr>
            <w:tcW w:w="993" w:type="dxa"/>
          </w:tcPr>
          <w:p w14:paraId="16DAD4A0" w14:textId="51C500A6" w:rsidR="00A2300E" w:rsidRPr="007E0E96" w:rsidRDefault="00A2300E" w:rsidP="00A2300E">
            <w:pPr>
              <w:rPr>
                <w:rFonts w:ascii="Verdana" w:hAnsi="Verdana"/>
                <w:sz w:val="20"/>
                <w:szCs w:val="20"/>
              </w:rPr>
            </w:pPr>
            <w:r w:rsidRPr="007E0E96">
              <w:rPr>
                <w:rFonts w:ascii="Verdana" w:hAnsi="Verdana"/>
                <w:sz w:val="20"/>
                <w:szCs w:val="20"/>
              </w:rPr>
              <w:t>No</w:t>
            </w:r>
          </w:p>
        </w:tc>
      </w:tr>
    </w:tbl>
    <w:p w14:paraId="18943029" w14:textId="77777777" w:rsidR="006217A1" w:rsidRDefault="006217A1" w:rsidP="00C20374">
      <w:pPr>
        <w:rPr>
          <w:rFonts w:ascii="Verdana" w:hAnsi="Verdana"/>
          <w:lang w:eastAsia="zh-CN"/>
        </w:rPr>
        <w:sectPr w:rsidR="006217A1" w:rsidSect="004F503D">
          <w:pgSz w:w="16838" w:h="11906" w:orient="landscape"/>
          <w:pgMar w:top="1440" w:right="1440" w:bottom="1440" w:left="1440" w:header="708" w:footer="708" w:gutter="0"/>
          <w:cols w:space="708"/>
          <w:docGrid w:linePitch="360"/>
        </w:sectPr>
      </w:pPr>
    </w:p>
    <w:p w14:paraId="43A625BE" w14:textId="630EA4CE" w:rsidR="00152A89" w:rsidRPr="00152A89" w:rsidRDefault="001A3CC3" w:rsidP="00C20374">
      <w:pPr>
        <w:rPr>
          <w:rFonts w:ascii="Verdana" w:hAnsi="Verdana"/>
          <w:u w:val="single"/>
          <w:lang w:eastAsia="zh-CN"/>
        </w:rPr>
      </w:pPr>
      <w:r w:rsidRPr="001A3CC3">
        <w:rPr>
          <w:rFonts w:ascii="Verdana" w:hAnsi="Verdana"/>
          <w:lang w:eastAsia="zh-CN"/>
        </w:rPr>
        <w:lastRenderedPageBreak/>
        <w:t>6.1.5</w:t>
      </w:r>
      <w:r w:rsidRPr="0015704D">
        <w:rPr>
          <w:rFonts w:ascii="Verdana" w:hAnsi="Verdana"/>
          <w:lang w:eastAsia="zh-CN"/>
        </w:rPr>
        <w:tab/>
      </w:r>
      <w:r w:rsidR="00152A89" w:rsidRPr="00152A89">
        <w:rPr>
          <w:rFonts w:ascii="Verdana" w:hAnsi="Verdana"/>
          <w:u w:val="single"/>
          <w:lang w:eastAsia="zh-CN"/>
        </w:rPr>
        <w:t>Critical Control Point</w:t>
      </w:r>
      <w:r w:rsidR="00116F25">
        <w:rPr>
          <w:rFonts w:ascii="Verdana" w:hAnsi="Verdana"/>
          <w:u w:val="single"/>
          <w:lang w:eastAsia="zh-CN"/>
        </w:rPr>
        <w:t>s</w:t>
      </w:r>
    </w:p>
    <w:p w14:paraId="7A18934C" w14:textId="75D9DEAA" w:rsidR="004F503D" w:rsidRDefault="00C20374" w:rsidP="00A55773">
      <w:pPr>
        <w:spacing w:line="276" w:lineRule="auto"/>
        <w:rPr>
          <w:rFonts w:ascii="Verdana" w:hAnsi="Verdana"/>
          <w:lang w:eastAsia="zh-CN"/>
        </w:rPr>
      </w:pPr>
      <w:r w:rsidRPr="00152A89">
        <w:rPr>
          <w:rFonts w:ascii="Verdana" w:hAnsi="Verdana"/>
          <w:lang w:eastAsia="zh-CN"/>
        </w:rPr>
        <w:t xml:space="preserve">A </w:t>
      </w:r>
      <w:r w:rsidR="00116F25" w:rsidRPr="00116F25">
        <w:rPr>
          <w:rFonts w:ascii="Verdana" w:hAnsi="Verdana"/>
          <w:lang w:eastAsia="zh-CN"/>
        </w:rPr>
        <w:t>Critical Control Point</w:t>
      </w:r>
      <w:r w:rsidR="00116F25">
        <w:rPr>
          <w:rFonts w:ascii="Verdana" w:hAnsi="Verdana"/>
          <w:lang w:eastAsia="zh-CN"/>
        </w:rPr>
        <w:t xml:space="preserve"> (</w:t>
      </w:r>
      <w:r w:rsidRPr="00152A89">
        <w:rPr>
          <w:rFonts w:ascii="Verdana" w:hAnsi="Verdana"/>
          <w:lang w:eastAsia="zh-CN"/>
        </w:rPr>
        <w:t>CCP</w:t>
      </w:r>
      <w:r w:rsidR="00116F25">
        <w:rPr>
          <w:rFonts w:ascii="Verdana" w:hAnsi="Verdana"/>
          <w:lang w:eastAsia="zh-CN"/>
        </w:rPr>
        <w:t>)</w:t>
      </w:r>
      <w:r w:rsidRPr="00152A89">
        <w:rPr>
          <w:rFonts w:ascii="Verdana" w:hAnsi="Verdana"/>
          <w:lang w:eastAsia="zh-CN"/>
        </w:rPr>
        <w:t xml:space="preserve"> is a step at which an identified hazard can be eliminated or reduced to an acceptable level.  Control at the CCP must be linked to the achievement of an established food safety outcome (</w:t>
      </w:r>
      <w:r w:rsidR="00152A89" w:rsidRPr="00152A89">
        <w:rPr>
          <w:rFonts w:ascii="Verdana" w:hAnsi="Verdana"/>
          <w:lang w:eastAsia="zh-CN"/>
        </w:rPr>
        <w:t>i.e.,</w:t>
      </w:r>
      <w:r w:rsidRPr="00152A89">
        <w:rPr>
          <w:rFonts w:ascii="Verdana" w:hAnsi="Verdana"/>
          <w:lang w:eastAsia="zh-CN"/>
        </w:rPr>
        <w:t xml:space="preserve"> product or process criteria).  A CCP must have a defined critical limit which is measurable and capable of being monitored on a real time basis so that immediate corrective action can be undertaken.</w:t>
      </w:r>
    </w:p>
    <w:p w14:paraId="1442266C" w14:textId="30CE7403" w:rsidR="002C0D95" w:rsidRPr="008D2F80" w:rsidRDefault="00E35904" w:rsidP="00A55773">
      <w:pPr>
        <w:spacing w:line="276" w:lineRule="auto"/>
        <w:rPr>
          <w:rFonts w:ascii="Verdana" w:hAnsi="Verdana"/>
          <w:color w:val="FF0000"/>
          <w:highlight w:val="yellow"/>
          <w:lang w:eastAsia="zh-CN"/>
        </w:rPr>
      </w:pPr>
      <w:r w:rsidRPr="008D2F80">
        <w:rPr>
          <w:rFonts w:ascii="Verdana" w:hAnsi="Verdana"/>
          <w:color w:val="FF0000"/>
          <w:highlight w:val="yellow"/>
          <w:lang w:eastAsia="zh-CN"/>
        </w:rPr>
        <w:t>Pasteurisation as CCP</w:t>
      </w:r>
      <w:r w:rsidR="00615DE7" w:rsidRPr="008D2F80">
        <w:rPr>
          <w:rFonts w:ascii="Verdana" w:hAnsi="Verdana"/>
          <w:color w:val="FF0000"/>
          <w:highlight w:val="yellow"/>
          <w:lang w:eastAsia="zh-CN"/>
        </w:rPr>
        <w:t xml:space="preserve"> – quality (shelf-life only)</w:t>
      </w:r>
      <w:r w:rsidR="008D2F80" w:rsidRPr="008D2F80">
        <w:rPr>
          <w:rFonts w:ascii="Verdana" w:hAnsi="Verdana"/>
          <w:color w:val="FF0000"/>
          <w:highlight w:val="yellow"/>
          <w:lang w:eastAsia="zh-CN"/>
        </w:rPr>
        <w:t>?</w:t>
      </w:r>
    </w:p>
    <w:p w14:paraId="2979F9C4" w14:textId="7B4564F0" w:rsidR="00E35904" w:rsidRPr="008D2F80" w:rsidRDefault="00E35904" w:rsidP="00A55773">
      <w:pPr>
        <w:spacing w:line="276" w:lineRule="auto"/>
        <w:rPr>
          <w:rFonts w:ascii="Verdana" w:hAnsi="Verdana"/>
          <w:color w:val="FF0000"/>
          <w:lang w:eastAsia="zh-CN"/>
        </w:rPr>
      </w:pPr>
      <w:r w:rsidRPr="008D2F80">
        <w:rPr>
          <w:rFonts w:ascii="Verdana" w:hAnsi="Verdana"/>
          <w:color w:val="FF0000"/>
          <w:highlight w:val="yellow"/>
          <w:lang w:eastAsia="zh-CN"/>
        </w:rPr>
        <w:t xml:space="preserve">Bottle washing as </w:t>
      </w:r>
      <w:proofErr w:type="gramStart"/>
      <w:r w:rsidRPr="008D2F80">
        <w:rPr>
          <w:rFonts w:ascii="Verdana" w:hAnsi="Verdana"/>
          <w:color w:val="FF0000"/>
          <w:highlight w:val="yellow"/>
          <w:lang w:eastAsia="zh-CN"/>
        </w:rPr>
        <w:t>CCP?</w:t>
      </w:r>
      <w:r w:rsidR="00615DE7" w:rsidRPr="008D2F80">
        <w:rPr>
          <w:rFonts w:ascii="Verdana" w:hAnsi="Verdana"/>
          <w:color w:val="FF0000"/>
          <w:highlight w:val="yellow"/>
          <w:lang w:eastAsia="zh-CN"/>
        </w:rPr>
        <w:t>–</w:t>
      </w:r>
      <w:proofErr w:type="gramEnd"/>
      <w:r w:rsidR="00615DE7" w:rsidRPr="008D2F80">
        <w:rPr>
          <w:rFonts w:ascii="Verdana" w:hAnsi="Verdana"/>
          <w:color w:val="FF0000"/>
          <w:highlight w:val="yellow"/>
          <w:lang w:eastAsia="zh-CN"/>
        </w:rPr>
        <w:t xml:space="preserve"> glass – considered to be met by PRP</w:t>
      </w:r>
      <w:r w:rsidR="008D2F80" w:rsidRPr="008D2F80">
        <w:rPr>
          <w:rFonts w:ascii="Verdana" w:hAnsi="Verdana"/>
          <w:color w:val="FF0000"/>
          <w:highlight w:val="yellow"/>
          <w:lang w:eastAsia="zh-CN"/>
        </w:rPr>
        <w:t>?</w:t>
      </w:r>
    </w:p>
    <w:p w14:paraId="77854F82" w14:textId="77777777" w:rsidR="003855A3" w:rsidRDefault="003855A3" w:rsidP="00A55773">
      <w:pPr>
        <w:spacing w:line="276" w:lineRule="auto"/>
        <w:rPr>
          <w:rFonts w:ascii="Verdana" w:hAnsi="Verdana"/>
          <w:lang w:eastAsia="zh-CN"/>
        </w:rPr>
      </w:pPr>
    </w:p>
    <w:p w14:paraId="086837EC" w14:textId="0B0C7230" w:rsidR="00116F25" w:rsidRPr="002C0D95" w:rsidRDefault="001A3CC3" w:rsidP="00A55773">
      <w:pPr>
        <w:spacing w:line="276" w:lineRule="auto"/>
        <w:rPr>
          <w:rFonts w:ascii="Verdana" w:hAnsi="Verdana"/>
          <w:u w:val="single"/>
          <w:lang w:eastAsia="zh-CN"/>
        </w:rPr>
      </w:pPr>
      <w:r w:rsidRPr="001A3CC3">
        <w:rPr>
          <w:rFonts w:ascii="Verdana" w:hAnsi="Verdana"/>
          <w:lang w:eastAsia="zh-CN"/>
        </w:rPr>
        <w:t>6.1.</w:t>
      </w:r>
      <w:r>
        <w:rPr>
          <w:rFonts w:ascii="Verdana" w:hAnsi="Verdana"/>
          <w:lang w:eastAsia="zh-CN"/>
        </w:rPr>
        <w:t>6</w:t>
      </w:r>
      <w:r w:rsidRPr="0015704D">
        <w:rPr>
          <w:rFonts w:ascii="Verdana" w:hAnsi="Verdana"/>
          <w:lang w:eastAsia="zh-CN"/>
        </w:rPr>
        <w:tab/>
      </w:r>
      <w:r w:rsidR="002C0D95" w:rsidRPr="002C0D95">
        <w:rPr>
          <w:rFonts w:ascii="Verdana" w:hAnsi="Verdana"/>
          <w:u w:val="single"/>
          <w:lang w:eastAsia="zh-CN"/>
        </w:rPr>
        <w:t>Food Safety - Beer</w:t>
      </w:r>
    </w:p>
    <w:p w14:paraId="33E9497C" w14:textId="49C5B650" w:rsidR="00116F25" w:rsidRDefault="00116F25" w:rsidP="00A55773">
      <w:pPr>
        <w:spacing w:line="276" w:lineRule="auto"/>
        <w:rPr>
          <w:rFonts w:ascii="Verdana" w:hAnsi="Verdana"/>
          <w:lang w:eastAsia="zh-CN"/>
        </w:rPr>
      </w:pPr>
      <w:r w:rsidRPr="00116F25">
        <w:rPr>
          <w:rFonts w:ascii="Verdana" w:hAnsi="Verdana"/>
          <w:lang w:eastAsia="zh-CN"/>
        </w:rPr>
        <w:t>Beer is generally considered as</w:t>
      </w:r>
      <w:r>
        <w:rPr>
          <w:rFonts w:ascii="Verdana" w:hAnsi="Verdana"/>
          <w:lang w:eastAsia="zh-CN"/>
        </w:rPr>
        <w:t xml:space="preserve"> </w:t>
      </w:r>
      <w:r w:rsidRPr="00116F25">
        <w:rPr>
          <w:rFonts w:ascii="Verdana" w:hAnsi="Verdana"/>
          <w:lang w:eastAsia="zh-CN"/>
        </w:rPr>
        <w:t>intrinsically safe given appropriate brewing and hygiene conditions</w:t>
      </w:r>
      <w:r>
        <w:rPr>
          <w:rFonts w:ascii="Verdana" w:hAnsi="Verdana"/>
          <w:lang w:eastAsia="zh-CN"/>
        </w:rPr>
        <w:t xml:space="preserve"> </w:t>
      </w:r>
      <w:r w:rsidRPr="00116F25">
        <w:rPr>
          <w:rFonts w:ascii="Verdana" w:hAnsi="Verdana"/>
          <w:lang w:eastAsia="zh-CN"/>
        </w:rPr>
        <w:t>have been employed in its manufacture. This is due to the variety of “hurdles” that exist to achieve</w:t>
      </w:r>
      <w:r>
        <w:rPr>
          <w:rFonts w:ascii="Verdana" w:hAnsi="Verdana"/>
          <w:lang w:eastAsia="zh-CN"/>
        </w:rPr>
        <w:t xml:space="preserve"> </w:t>
      </w:r>
      <w:r w:rsidRPr="00116F25">
        <w:rPr>
          <w:rFonts w:ascii="Verdana" w:hAnsi="Verdana"/>
          <w:lang w:eastAsia="zh-CN"/>
        </w:rPr>
        <w:t xml:space="preserve">control of product safety both intrinsic and extrinsic. </w:t>
      </w:r>
      <w:r w:rsidR="000555E1">
        <w:rPr>
          <w:rFonts w:ascii="Verdana" w:hAnsi="Verdana"/>
          <w:lang w:eastAsia="zh-CN"/>
        </w:rPr>
        <w:t>Hurdles include cooking (mashing/kettle boil), fermentation, anaerobic conditions (fermentation, carbonation), anti-microbial processes (lowering pH, acidification of malt, addition of hops</w:t>
      </w:r>
      <w:r w:rsidR="00FD0155">
        <w:rPr>
          <w:rFonts w:ascii="Verdana" w:hAnsi="Verdana"/>
          <w:lang w:eastAsia="zh-CN"/>
        </w:rPr>
        <w:t>, presence of ethanol, lack of nutrients</w:t>
      </w:r>
      <w:r w:rsidR="000555E1">
        <w:rPr>
          <w:rFonts w:ascii="Verdana" w:hAnsi="Verdana"/>
          <w:lang w:eastAsia="zh-CN"/>
        </w:rPr>
        <w:t>)</w:t>
      </w:r>
      <w:r w:rsidR="001B08C9">
        <w:rPr>
          <w:rFonts w:ascii="Verdana" w:hAnsi="Verdana"/>
          <w:lang w:eastAsia="zh-CN"/>
        </w:rPr>
        <w:t>, heat treatment (if post pack (in bottle or can) pasteurised)</w:t>
      </w:r>
      <w:r w:rsidR="00FD0155">
        <w:rPr>
          <w:rFonts w:ascii="Verdana" w:hAnsi="Verdana"/>
          <w:lang w:eastAsia="zh-CN"/>
        </w:rPr>
        <w:t xml:space="preserve"> and storage conditions (typically refrigerated). </w:t>
      </w:r>
      <w:r w:rsidRPr="00116F25">
        <w:rPr>
          <w:rFonts w:ascii="Verdana" w:hAnsi="Verdana"/>
          <w:lang w:eastAsia="zh-CN"/>
        </w:rPr>
        <w:t>Supporting these hurdles are the pre-requisite</w:t>
      </w:r>
      <w:r>
        <w:rPr>
          <w:rFonts w:ascii="Verdana" w:hAnsi="Verdana"/>
          <w:lang w:eastAsia="zh-CN"/>
        </w:rPr>
        <w:t xml:space="preserve"> </w:t>
      </w:r>
      <w:r w:rsidRPr="00116F25">
        <w:rPr>
          <w:rFonts w:ascii="Verdana" w:hAnsi="Verdana"/>
          <w:lang w:eastAsia="zh-CN"/>
        </w:rPr>
        <w:t>good operating practices ensuring appropriate hygiene conditions are</w:t>
      </w:r>
      <w:r>
        <w:rPr>
          <w:rFonts w:ascii="Verdana" w:hAnsi="Verdana"/>
          <w:lang w:eastAsia="zh-CN"/>
        </w:rPr>
        <w:t xml:space="preserve"> </w:t>
      </w:r>
      <w:r w:rsidRPr="00116F25">
        <w:rPr>
          <w:rFonts w:ascii="Verdana" w:hAnsi="Verdana"/>
          <w:lang w:eastAsia="zh-CN"/>
        </w:rPr>
        <w:t>maintained throughout the</w:t>
      </w:r>
      <w:r>
        <w:rPr>
          <w:rFonts w:ascii="Verdana" w:hAnsi="Verdana"/>
          <w:lang w:eastAsia="zh-CN"/>
        </w:rPr>
        <w:t xml:space="preserve"> </w:t>
      </w:r>
      <w:r w:rsidRPr="00116F25">
        <w:rPr>
          <w:rFonts w:ascii="Verdana" w:hAnsi="Verdana"/>
          <w:lang w:eastAsia="zh-CN"/>
        </w:rPr>
        <w:t>process</w:t>
      </w:r>
      <w:r>
        <w:rPr>
          <w:rFonts w:ascii="Verdana" w:hAnsi="Verdana"/>
          <w:lang w:eastAsia="zh-CN"/>
        </w:rPr>
        <w:t xml:space="preserve">. </w:t>
      </w:r>
    </w:p>
    <w:p w14:paraId="40EFE817" w14:textId="4EA789B4" w:rsidR="008D2F80" w:rsidRDefault="008D2F80" w:rsidP="00A55773">
      <w:pPr>
        <w:spacing w:line="276" w:lineRule="auto"/>
        <w:rPr>
          <w:rFonts w:ascii="Verdana" w:hAnsi="Verdana"/>
          <w:lang w:eastAsia="zh-CN"/>
        </w:rPr>
      </w:pPr>
    </w:p>
    <w:p w14:paraId="0C5AA5F2" w14:textId="291BF777" w:rsidR="008D2F80" w:rsidRPr="002E5565" w:rsidRDefault="008D2F80" w:rsidP="00A55773">
      <w:pPr>
        <w:spacing w:line="276" w:lineRule="auto"/>
        <w:rPr>
          <w:rFonts w:ascii="Verdana" w:hAnsi="Verdana"/>
          <w:u w:val="single"/>
          <w:lang w:eastAsia="zh-CN"/>
        </w:rPr>
      </w:pPr>
      <w:r w:rsidRPr="002E5565">
        <w:rPr>
          <w:rFonts w:ascii="Verdana" w:hAnsi="Verdana"/>
          <w:u w:val="single"/>
          <w:lang w:eastAsia="zh-CN"/>
        </w:rPr>
        <w:t>Other References</w:t>
      </w:r>
    </w:p>
    <w:p w14:paraId="3A7A07C0" w14:textId="2C9089B7" w:rsidR="002E5565" w:rsidRPr="002E5565" w:rsidRDefault="002E5565" w:rsidP="002E5565">
      <w:pPr>
        <w:spacing w:line="276" w:lineRule="auto"/>
        <w:rPr>
          <w:rFonts w:ascii="Verdana" w:hAnsi="Verdana"/>
          <w:i/>
          <w:iCs/>
          <w:lang w:eastAsia="zh-CN"/>
        </w:rPr>
      </w:pPr>
      <w:r w:rsidRPr="002E5565">
        <w:rPr>
          <w:rFonts w:ascii="Verdana" w:hAnsi="Verdana"/>
          <w:lang w:eastAsia="zh-CN"/>
        </w:rPr>
        <w:t>125th Anniversary Review: Bacteria in brewing:</w:t>
      </w:r>
      <w:r w:rsidRPr="002E5565">
        <w:rPr>
          <w:rFonts w:ascii="Verdana" w:hAnsi="Verdana"/>
          <w:lang w:eastAsia="zh-CN"/>
        </w:rPr>
        <w:t xml:space="preserve"> </w:t>
      </w:r>
      <w:r w:rsidRPr="002E5565">
        <w:rPr>
          <w:rFonts w:ascii="Verdana" w:hAnsi="Verdana"/>
          <w:lang w:eastAsia="zh-CN"/>
        </w:rPr>
        <w:t>The good, the bad and the ugly</w:t>
      </w:r>
      <w:r w:rsidRPr="002E5565">
        <w:rPr>
          <w:rFonts w:ascii="Verdana" w:hAnsi="Verdana"/>
          <w:lang w:eastAsia="zh-CN"/>
        </w:rPr>
        <w:t xml:space="preserve">. </w:t>
      </w:r>
      <w:r w:rsidRPr="002E5565">
        <w:rPr>
          <w:rFonts w:ascii="Verdana" w:hAnsi="Verdana"/>
          <w:lang w:eastAsia="zh-CN"/>
        </w:rPr>
        <w:t>F</w:t>
      </w:r>
      <w:r w:rsidRPr="002E5565">
        <w:rPr>
          <w:rFonts w:ascii="Verdana" w:hAnsi="Verdana"/>
          <w:lang w:eastAsia="zh-CN"/>
        </w:rPr>
        <w:t xml:space="preserve"> </w:t>
      </w:r>
      <w:proofErr w:type="spellStart"/>
      <w:r w:rsidRPr="002E5565">
        <w:rPr>
          <w:rFonts w:ascii="Verdana" w:hAnsi="Verdana"/>
          <w:lang w:eastAsia="zh-CN"/>
        </w:rPr>
        <w:t>Vriesekoop</w:t>
      </w:r>
      <w:proofErr w:type="spellEnd"/>
      <w:r w:rsidRPr="002E5565">
        <w:rPr>
          <w:rFonts w:ascii="Verdana" w:hAnsi="Verdana"/>
          <w:lang w:eastAsia="zh-CN"/>
        </w:rPr>
        <w:t>,</w:t>
      </w:r>
      <w:r w:rsidRPr="002E5565">
        <w:rPr>
          <w:rFonts w:ascii="Verdana" w:hAnsi="Verdana"/>
          <w:lang w:eastAsia="zh-CN"/>
        </w:rPr>
        <w:t xml:space="preserve"> </w:t>
      </w:r>
      <w:r w:rsidRPr="002E5565">
        <w:rPr>
          <w:rFonts w:ascii="Verdana" w:hAnsi="Verdana"/>
          <w:lang w:eastAsia="zh-CN"/>
        </w:rPr>
        <w:t>M Krahl,</w:t>
      </w:r>
      <w:r w:rsidRPr="002E5565">
        <w:rPr>
          <w:rFonts w:ascii="Verdana" w:hAnsi="Verdana"/>
          <w:lang w:eastAsia="zh-CN"/>
        </w:rPr>
        <w:t xml:space="preserve"> </w:t>
      </w:r>
      <w:r w:rsidRPr="002E5565">
        <w:rPr>
          <w:rFonts w:ascii="Verdana" w:hAnsi="Verdana"/>
          <w:lang w:eastAsia="zh-CN"/>
        </w:rPr>
        <w:t>B Hucker and G Menz</w:t>
      </w:r>
      <w:r w:rsidRPr="002E5565">
        <w:rPr>
          <w:rFonts w:ascii="Verdana" w:hAnsi="Verdana"/>
          <w:lang w:eastAsia="zh-CN"/>
        </w:rPr>
        <w:t xml:space="preserve">. </w:t>
      </w:r>
      <w:r w:rsidRPr="002E5565">
        <w:rPr>
          <w:rFonts w:ascii="Verdana" w:hAnsi="Verdana"/>
          <w:lang w:eastAsia="zh-CN"/>
        </w:rPr>
        <w:t>Institute of Brewing &amp; Distilling</w:t>
      </w:r>
      <w:r w:rsidRPr="002E5565">
        <w:rPr>
          <w:rFonts w:ascii="Verdana" w:hAnsi="Verdana"/>
          <w:lang w:eastAsia="zh-CN"/>
        </w:rPr>
        <w:t xml:space="preserve">. </w:t>
      </w:r>
      <w:r w:rsidRPr="002E5565">
        <w:rPr>
          <w:rFonts w:ascii="Verdana" w:hAnsi="Verdana"/>
          <w:i/>
          <w:iCs/>
          <w:lang w:eastAsia="zh-CN"/>
        </w:rPr>
        <w:t>Published online in Wiley Online Library: 12 February 2013</w:t>
      </w:r>
      <w:r w:rsidRPr="002E5565">
        <w:rPr>
          <w:rFonts w:ascii="Verdana" w:hAnsi="Verdana"/>
          <w:i/>
          <w:iCs/>
          <w:lang w:eastAsia="zh-CN"/>
        </w:rPr>
        <w:t>.</w:t>
      </w:r>
    </w:p>
    <w:p w14:paraId="76881801" w14:textId="77777777" w:rsidR="002E5565" w:rsidRPr="002E5565" w:rsidRDefault="002E5565" w:rsidP="002E5565">
      <w:pPr>
        <w:shd w:val="clear" w:color="auto" w:fill="FFFFFF"/>
        <w:spacing w:after="0" w:line="240" w:lineRule="auto"/>
        <w:rPr>
          <w:rFonts w:ascii="Verdana" w:eastAsia="Times New Roman" w:hAnsi="Verdana" w:cs="Open Sans"/>
          <w:color w:val="767676"/>
          <w:lang w:eastAsia="en-NZ"/>
        </w:rPr>
      </w:pPr>
      <w:hyperlink r:id="rId10" w:history="1">
        <w:r w:rsidRPr="002E5565">
          <w:rPr>
            <w:rFonts w:ascii="Verdana" w:eastAsia="Times New Roman" w:hAnsi="Verdana" w:cs="Open Sans"/>
            <w:color w:val="0000FF"/>
            <w:u w:val="single"/>
            <w:lang w:eastAsia="en-NZ"/>
          </w:rPr>
          <w:t>https://doi.org/10.1002/jib.49</w:t>
        </w:r>
      </w:hyperlink>
    </w:p>
    <w:p w14:paraId="19E6D17A" w14:textId="77777777" w:rsidR="002E5565" w:rsidRPr="002E5565" w:rsidRDefault="002E5565" w:rsidP="002E5565">
      <w:pPr>
        <w:spacing w:line="276" w:lineRule="auto"/>
        <w:rPr>
          <w:rFonts w:ascii="Verdana" w:hAnsi="Verdana"/>
          <w:lang w:eastAsia="zh-CN"/>
        </w:rPr>
      </w:pPr>
    </w:p>
    <w:sectPr w:rsidR="002E5565" w:rsidRPr="002E5565" w:rsidSect="00621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A55E" w14:textId="77777777" w:rsidR="001933C3" w:rsidRDefault="001933C3" w:rsidP="003A3C28">
      <w:pPr>
        <w:spacing w:after="0" w:line="240" w:lineRule="auto"/>
      </w:pPr>
      <w:r>
        <w:separator/>
      </w:r>
    </w:p>
  </w:endnote>
  <w:endnote w:type="continuationSeparator" w:id="0">
    <w:p w14:paraId="679AA55A" w14:textId="77777777" w:rsidR="001933C3" w:rsidRDefault="001933C3"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20F0EFAE"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0170D5">
            <w:rPr>
              <w:rFonts w:ascii="Verdana" w:hAnsi="Verdana"/>
              <w:sz w:val="16"/>
            </w:rPr>
            <w:t>6</w:t>
          </w:r>
          <w:r w:rsidRPr="00090B04">
            <w:rPr>
              <w:rFonts w:ascii="Verdana" w:hAnsi="Verdana"/>
              <w:sz w:val="16"/>
            </w:rPr>
            <w:t xml:space="preserve">.0 </w:t>
          </w:r>
          <w:r w:rsidR="000170D5">
            <w:rPr>
              <w:rFonts w:ascii="Verdana" w:hAnsi="Verdana"/>
              <w:sz w:val="16"/>
            </w:rPr>
            <w:t>HACCP</w:t>
          </w:r>
        </w:p>
      </w:tc>
      <w:tc>
        <w:tcPr>
          <w:tcW w:w="283" w:type="dxa"/>
          <w:tcBorders>
            <w:top w:val="single" w:sz="4" w:space="0" w:color="000000"/>
          </w:tcBorders>
        </w:tcPr>
        <w:p w14:paraId="14374779" w14:textId="77777777" w:rsidR="007415EA" w:rsidRPr="00090B04"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4133154E" w:rsidR="007415EA" w:rsidRPr="00090B04" w:rsidRDefault="007415EA" w:rsidP="007415EA">
          <w:pPr>
            <w:pStyle w:val="Header"/>
            <w:snapToGrid w:val="0"/>
            <w:rPr>
              <w:rFonts w:ascii="Verdana" w:hAnsi="Verdana"/>
              <w:sz w:val="16"/>
            </w:rPr>
          </w:pPr>
          <w:r w:rsidRPr="00FE644F">
            <w:rPr>
              <w:rFonts w:ascii="Verdana" w:hAnsi="Verdana"/>
              <w:sz w:val="16"/>
            </w:rPr>
            <w:t xml:space="preserve">Version </w:t>
          </w:r>
          <w:r w:rsidR="006F4A17" w:rsidRPr="00FE644F">
            <w:rPr>
              <w:rFonts w:ascii="Verdana" w:hAnsi="Verdana"/>
              <w:sz w:val="16"/>
            </w:rPr>
            <w:t>2</w:t>
          </w:r>
          <w:r w:rsidRPr="00FE644F">
            <w:rPr>
              <w:rFonts w:ascii="Verdana" w:hAnsi="Verdana"/>
              <w:sz w:val="16"/>
            </w:rPr>
            <w:t>:</w:t>
          </w:r>
          <w:r>
            <w:rPr>
              <w:rFonts w:ascii="Verdana" w:hAnsi="Verdana"/>
              <w:sz w:val="16"/>
            </w:rPr>
            <w:t xml:space="preserve"> February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EAFA" w14:textId="77777777" w:rsidR="001933C3" w:rsidRDefault="001933C3" w:rsidP="003A3C28">
      <w:pPr>
        <w:spacing w:after="0" w:line="240" w:lineRule="auto"/>
      </w:pPr>
      <w:r>
        <w:separator/>
      </w:r>
    </w:p>
  </w:footnote>
  <w:footnote w:type="continuationSeparator" w:id="0">
    <w:p w14:paraId="3DE5E5F6" w14:textId="77777777" w:rsidR="001933C3" w:rsidRDefault="001933C3"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32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CC7C58"/>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360446E"/>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4"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C7B96"/>
    <w:multiLevelType w:val="hybridMultilevel"/>
    <w:tmpl w:val="81866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476981"/>
    <w:multiLevelType w:val="multilevel"/>
    <w:tmpl w:val="720485E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3C92726D"/>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DF405C7"/>
    <w:multiLevelType w:val="multilevel"/>
    <w:tmpl w:val="900224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3F6A0AC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3" w15:restartNumberingAfterBreak="0">
    <w:nsid w:val="40B3474C"/>
    <w:multiLevelType w:val="hybridMultilevel"/>
    <w:tmpl w:val="7E2E08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D8122C"/>
    <w:multiLevelType w:val="hybridMultilevel"/>
    <w:tmpl w:val="9BE416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516F62EE"/>
    <w:multiLevelType w:val="hybridMultilevel"/>
    <w:tmpl w:val="C72467C4"/>
    <w:lvl w:ilvl="0" w:tplc="98D478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4A20FE9"/>
    <w:multiLevelType w:val="hybridMultilevel"/>
    <w:tmpl w:val="40DA4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01181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2" w15:restartNumberingAfterBreak="0">
    <w:nsid w:val="6D1D3A4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3"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7"/>
  </w:num>
  <w:num w:numId="5">
    <w:abstractNumId w:val="24"/>
  </w:num>
  <w:num w:numId="6">
    <w:abstractNumId w:val="4"/>
  </w:num>
  <w:num w:numId="7">
    <w:abstractNumId w:val="23"/>
  </w:num>
  <w:num w:numId="8">
    <w:abstractNumId w:val="1"/>
  </w:num>
  <w:num w:numId="9">
    <w:abstractNumId w:val="15"/>
  </w:num>
  <w:num w:numId="10">
    <w:abstractNumId w:val="20"/>
  </w:num>
  <w:num w:numId="11">
    <w:abstractNumId w:val="6"/>
  </w:num>
  <w:num w:numId="12">
    <w:abstractNumId w:val="11"/>
  </w:num>
  <w:num w:numId="13">
    <w:abstractNumId w:val="19"/>
  </w:num>
  <w:num w:numId="14">
    <w:abstractNumId w:val="9"/>
  </w:num>
  <w:num w:numId="15">
    <w:abstractNumId w:val="5"/>
  </w:num>
  <w:num w:numId="16">
    <w:abstractNumId w:val="16"/>
  </w:num>
  <w:num w:numId="17">
    <w:abstractNumId w:val="18"/>
  </w:num>
  <w:num w:numId="18">
    <w:abstractNumId w:val="22"/>
  </w:num>
  <w:num w:numId="19">
    <w:abstractNumId w:val="0"/>
  </w:num>
  <w:num w:numId="20">
    <w:abstractNumId w:val="12"/>
  </w:num>
  <w:num w:numId="21">
    <w:abstractNumId w:val="3"/>
  </w:num>
  <w:num w:numId="22">
    <w:abstractNumId w:val="21"/>
  </w:num>
  <w:num w:numId="23">
    <w:abstractNumId w:val="1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170D5"/>
    <w:rsid w:val="00034BB7"/>
    <w:rsid w:val="00046DD2"/>
    <w:rsid w:val="000555E1"/>
    <w:rsid w:val="00063253"/>
    <w:rsid w:val="00077D6D"/>
    <w:rsid w:val="00084705"/>
    <w:rsid w:val="000C591A"/>
    <w:rsid w:val="000E3A28"/>
    <w:rsid w:val="000F4009"/>
    <w:rsid w:val="00116F25"/>
    <w:rsid w:val="00152A89"/>
    <w:rsid w:val="0015704D"/>
    <w:rsid w:val="00157D13"/>
    <w:rsid w:val="0017424D"/>
    <w:rsid w:val="001762C4"/>
    <w:rsid w:val="00185B70"/>
    <w:rsid w:val="001933C3"/>
    <w:rsid w:val="001A3CC3"/>
    <w:rsid w:val="001B08C9"/>
    <w:rsid w:val="001F5F81"/>
    <w:rsid w:val="00202C78"/>
    <w:rsid w:val="002C0D95"/>
    <w:rsid w:val="002D528E"/>
    <w:rsid w:val="002E5565"/>
    <w:rsid w:val="003056CD"/>
    <w:rsid w:val="00312DE3"/>
    <w:rsid w:val="00360DD8"/>
    <w:rsid w:val="003855A3"/>
    <w:rsid w:val="00393831"/>
    <w:rsid w:val="003A3C28"/>
    <w:rsid w:val="003B5786"/>
    <w:rsid w:val="00413B54"/>
    <w:rsid w:val="004319E6"/>
    <w:rsid w:val="0046187A"/>
    <w:rsid w:val="0047178E"/>
    <w:rsid w:val="004934DD"/>
    <w:rsid w:val="004C54D3"/>
    <w:rsid w:val="004F503D"/>
    <w:rsid w:val="004F5059"/>
    <w:rsid w:val="004F6563"/>
    <w:rsid w:val="00557A9C"/>
    <w:rsid w:val="005939BB"/>
    <w:rsid w:val="005A3516"/>
    <w:rsid w:val="005C2529"/>
    <w:rsid w:val="005C55B8"/>
    <w:rsid w:val="005E68EE"/>
    <w:rsid w:val="005F6A27"/>
    <w:rsid w:val="0060281D"/>
    <w:rsid w:val="00615DE7"/>
    <w:rsid w:val="006217A1"/>
    <w:rsid w:val="00645B1A"/>
    <w:rsid w:val="006600B8"/>
    <w:rsid w:val="0067693B"/>
    <w:rsid w:val="00685A38"/>
    <w:rsid w:val="006B6F56"/>
    <w:rsid w:val="006C1D5D"/>
    <w:rsid w:val="006E320F"/>
    <w:rsid w:val="006F4A17"/>
    <w:rsid w:val="006F4E75"/>
    <w:rsid w:val="00720531"/>
    <w:rsid w:val="00725FC1"/>
    <w:rsid w:val="00734083"/>
    <w:rsid w:val="00736A08"/>
    <w:rsid w:val="007415EA"/>
    <w:rsid w:val="0074672D"/>
    <w:rsid w:val="00757ED0"/>
    <w:rsid w:val="00763308"/>
    <w:rsid w:val="00791212"/>
    <w:rsid w:val="007A79C8"/>
    <w:rsid w:val="007E0E96"/>
    <w:rsid w:val="007E3C60"/>
    <w:rsid w:val="007F62B2"/>
    <w:rsid w:val="00804453"/>
    <w:rsid w:val="0081696F"/>
    <w:rsid w:val="008258B2"/>
    <w:rsid w:val="008661AE"/>
    <w:rsid w:val="008769DA"/>
    <w:rsid w:val="008A2373"/>
    <w:rsid w:val="008B020D"/>
    <w:rsid w:val="008B2700"/>
    <w:rsid w:val="008D2F80"/>
    <w:rsid w:val="00916F83"/>
    <w:rsid w:val="00944CC3"/>
    <w:rsid w:val="00947476"/>
    <w:rsid w:val="00993B69"/>
    <w:rsid w:val="009C4D13"/>
    <w:rsid w:val="009D4408"/>
    <w:rsid w:val="009F09A9"/>
    <w:rsid w:val="009F2A7C"/>
    <w:rsid w:val="009F2C21"/>
    <w:rsid w:val="00A05F37"/>
    <w:rsid w:val="00A2300E"/>
    <w:rsid w:val="00A233C8"/>
    <w:rsid w:val="00A52F54"/>
    <w:rsid w:val="00A52FA5"/>
    <w:rsid w:val="00A55773"/>
    <w:rsid w:val="00A704FA"/>
    <w:rsid w:val="00A8716F"/>
    <w:rsid w:val="00A874B2"/>
    <w:rsid w:val="00A94045"/>
    <w:rsid w:val="00AD1203"/>
    <w:rsid w:val="00AD1CB3"/>
    <w:rsid w:val="00AE439E"/>
    <w:rsid w:val="00B164D0"/>
    <w:rsid w:val="00B37B21"/>
    <w:rsid w:val="00B6113F"/>
    <w:rsid w:val="00B65EF8"/>
    <w:rsid w:val="00B77A13"/>
    <w:rsid w:val="00B95C74"/>
    <w:rsid w:val="00BC17D8"/>
    <w:rsid w:val="00BC5FEE"/>
    <w:rsid w:val="00BC699F"/>
    <w:rsid w:val="00C20374"/>
    <w:rsid w:val="00C27BB6"/>
    <w:rsid w:val="00C62B4D"/>
    <w:rsid w:val="00CD6648"/>
    <w:rsid w:val="00CF3118"/>
    <w:rsid w:val="00CF40F5"/>
    <w:rsid w:val="00CF433E"/>
    <w:rsid w:val="00CF4817"/>
    <w:rsid w:val="00D15C20"/>
    <w:rsid w:val="00D36760"/>
    <w:rsid w:val="00D4106C"/>
    <w:rsid w:val="00D42523"/>
    <w:rsid w:val="00D460A0"/>
    <w:rsid w:val="00D4717B"/>
    <w:rsid w:val="00D607D7"/>
    <w:rsid w:val="00D90D55"/>
    <w:rsid w:val="00DB3C1E"/>
    <w:rsid w:val="00DD1A51"/>
    <w:rsid w:val="00E35904"/>
    <w:rsid w:val="00E6719C"/>
    <w:rsid w:val="00EA05AB"/>
    <w:rsid w:val="00EA3A2D"/>
    <w:rsid w:val="00EA5156"/>
    <w:rsid w:val="00EC2022"/>
    <w:rsid w:val="00EC54F3"/>
    <w:rsid w:val="00EC7049"/>
    <w:rsid w:val="00EE435A"/>
    <w:rsid w:val="00EE7F92"/>
    <w:rsid w:val="00F26B73"/>
    <w:rsid w:val="00F609A9"/>
    <w:rsid w:val="00F67042"/>
    <w:rsid w:val="00F86CB7"/>
    <w:rsid w:val="00FD0155"/>
    <w:rsid w:val="00FE644F"/>
    <w:rsid w:val="00FF36ED"/>
    <w:rsid w:val="00FF3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2">
    <w:name w:val="heading 2"/>
    <w:basedOn w:val="Normal"/>
    <w:next w:val="Normal"/>
    <w:link w:val="Heading2Char"/>
    <w:uiPriority w:val="9"/>
    <w:semiHidden/>
    <w:unhideWhenUsed/>
    <w:qFormat/>
    <w:rsid w:val="00C6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64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503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2B4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D1A51"/>
    <w:pPr>
      <w:spacing w:before="80" w:after="80" w:line="240" w:lineRule="auto"/>
    </w:pPr>
    <w:rPr>
      <w:rFonts w:ascii="Tahoma" w:eastAsia="Times New Roman" w:hAnsi="Tahoma" w:cs="Times New Roman"/>
      <w:sz w:val="18"/>
      <w:szCs w:val="20"/>
    </w:rPr>
  </w:style>
  <w:style w:type="character" w:customStyle="1" w:styleId="Heading4Char">
    <w:name w:val="Heading 4 Char"/>
    <w:basedOn w:val="DefaultParagraphFont"/>
    <w:link w:val="Heading4"/>
    <w:uiPriority w:val="9"/>
    <w:semiHidden/>
    <w:rsid w:val="00B164D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C62B4D"/>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semiHidden/>
    <w:rsid w:val="00C62B4D"/>
    <w:rPr>
      <w:rFonts w:asciiTheme="majorHAnsi" w:eastAsiaTheme="majorEastAsia" w:hAnsiTheme="majorHAnsi" w:cstheme="majorBidi"/>
      <w:i/>
      <w:iCs/>
      <w:color w:val="1F3763" w:themeColor="accent1" w:themeShade="7F"/>
    </w:rPr>
  </w:style>
  <w:style w:type="paragraph" w:customStyle="1" w:styleId="Index">
    <w:name w:val="Index"/>
    <w:basedOn w:val="Normal"/>
    <w:rsid w:val="00C62B4D"/>
    <w:pPr>
      <w:suppressLineNumbers/>
      <w:suppressAutoHyphens/>
      <w:spacing w:after="0" w:line="240" w:lineRule="auto"/>
    </w:pPr>
    <w:rPr>
      <w:rFonts w:ascii="Times New Roman" w:eastAsia="Times New Roman" w:hAnsi="Times New Roman" w:cs="Times New Roman"/>
      <w:sz w:val="24"/>
      <w:szCs w:val="20"/>
      <w:lang w:val="en-US" w:eastAsia="ar-SA"/>
    </w:rPr>
  </w:style>
  <w:style w:type="paragraph" w:styleId="FootnoteText">
    <w:name w:val="footnote text"/>
    <w:basedOn w:val="Normal"/>
    <w:link w:val="FootnoteTextChar"/>
    <w:semiHidden/>
    <w:rsid w:val="00C62B4D"/>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C62B4D"/>
    <w:rPr>
      <w:rFonts w:ascii="Times New Roman" w:eastAsia="Times New Roman" w:hAnsi="Times New Roman" w:cs="Times New Roman"/>
      <w:sz w:val="20"/>
      <w:szCs w:val="20"/>
      <w:lang w:val="en-US" w:eastAsia="ar-SA"/>
    </w:rPr>
  </w:style>
  <w:style w:type="character" w:customStyle="1" w:styleId="Heading6Char">
    <w:name w:val="Heading 6 Char"/>
    <w:basedOn w:val="DefaultParagraphFont"/>
    <w:link w:val="Heading6"/>
    <w:uiPriority w:val="9"/>
    <w:semiHidden/>
    <w:rsid w:val="004F503D"/>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C20374"/>
    <w:pPr>
      <w:spacing w:after="120"/>
    </w:pPr>
  </w:style>
  <w:style w:type="character" w:customStyle="1" w:styleId="BodyTextChar">
    <w:name w:val="Body Text Char"/>
    <w:basedOn w:val="DefaultParagraphFont"/>
    <w:link w:val="BodyText"/>
    <w:uiPriority w:val="99"/>
    <w:semiHidden/>
    <w:rsid w:val="00C20374"/>
  </w:style>
  <w:style w:type="character" w:styleId="Hyperlink">
    <w:name w:val="Hyperlink"/>
    <w:basedOn w:val="DefaultParagraphFont"/>
    <w:uiPriority w:val="99"/>
    <w:semiHidden/>
    <w:unhideWhenUsed/>
    <w:rsid w:val="002E5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653">
      <w:bodyDiv w:val="1"/>
      <w:marLeft w:val="0"/>
      <w:marRight w:val="0"/>
      <w:marTop w:val="0"/>
      <w:marBottom w:val="0"/>
      <w:divBdr>
        <w:top w:val="none" w:sz="0" w:space="0" w:color="auto"/>
        <w:left w:val="none" w:sz="0" w:space="0" w:color="auto"/>
        <w:bottom w:val="none" w:sz="0" w:space="0" w:color="auto"/>
        <w:right w:val="none" w:sz="0" w:space="0" w:color="auto"/>
      </w:divBdr>
      <w:divsChild>
        <w:div w:id="163067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2/jib.4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5086-5496-43A7-A8B3-04B35930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31</cp:revision>
  <dcterms:created xsi:type="dcterms:W3CDTF">2024-02-08T03:56:00Z</dcterms:created>
  <dcterms:modified xsi:type="dcterms:W3CDTF">2024-02-28T23:12:00Z</dcterms:modified>
</cp:coreProperties>
</file>